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ArialUnicodeMS"/>
          <w:kern w:val="0"/>
          <w:sz w:val="32"/>
          <w:szCs w:val="32"/>
        </w:rPr>
      </w:pPr>
    </w:p>
    <w:p>
      <w:pPr>
        <w:rPr>
          <w:rFonts w:hint="eastAsia" w:ascii="黑体" w:eastAsia="黑体" w:cs="ArialUnicodeMS"/>
          <w:kern w:val="0"/>
          <w:sz w:val="72"/>
          <w:szCs w:val="72"/>
        </w:rPr>
      </w:pPr>
    </w:p>
    <w:p>
      <w:pPr>
        <w:rPr>
          <w:rFonts w:hint="eastAsia" w:ascii="黑体" w:eastAsia="黑体" w:cs="ArialUnicodeMS"/>
          <w:kern w:val="0"/>
          <w:sz w:val="72"/>
          <w:szCs w:val="72"/>
        </w:rPr>
      </w:pPr>
    </w:p>
    <w:p>
      <w:pPr>
        <w:jc w:val="center"/>
        <w:rPr>
          <w:rFonts w:hint="eastAsia" w:ascii="黑体" w:hAnsi="黑体" w:eastAsia="黑体"/>
          <w:bCs/>
          <w:color w:val="000000"/>
          <w:sz w:val="52"/>
          <w:szCs w:val="52"/>
          <w:lang w:val="en-US" w:eastAsia="zh-CN"/>
        </w:rPr>
      </w:pPr>
      <w:r>
        <w:rPr>
          <w:rFonts w:hint="eastAsia" w:ascii="黑体" w:eastAsia="黑体" w:cs="ArialUnicodeMS"/>
          <w:kern w:val="0"/>
          <w:sz w:val="52"/>
          <w:szCs w:val="52"/>
          <w:lang w:eastAsia="zh-CN"/>
        </w:rPr>
        <w:t>柳州市产品质量安全检验所</w:t>
      </w:r>
    </w:p>
    <w:p>
      <w:pPr>
        <w:jc w:val="center"/>
        <w:rPr>
          <w:rFonts w:hint="eastAsia" w:ascii="黑体" w:eastAsia="黑体" w:cs="ArialUnicodeMS"/>
          <w:kern w:val="0"/>
          <w:sz w:val="52"/>
          <w:szCs w:val="52"/>
        </w:rPr>
      </w:pPr>
      <w:r>
        <w:rPr>
          <w:rFonts w:hint="eastAsia" w:ascii="黑体" w:eastAsia="黑体"/>
          <w:kern w:val="0"/>
          <w:sz w:val="52"/>
          <w:szCs w:val="52"/>
          <w:lang w:val="en-US" w:eastAsia="zh-CN"/>
        </w:rPr>
        <w:t>2019</w:t>
      </w:r>
      <w:r>
        <w:rPr>
          <w:rFonts w:hint="eastAsia" w:ascii="黑体" w:eastAsia="黑体" w:cs="ArialUnicodeMS"/>
          <w:kern w:val="0"/>
          <w:sz w:val="52"/>
          <w:szCs w:val="52"/>
        </w:rPr>
        <w:t>年</w:t>
      </w:r>
      <w:r>
        <w:rPr>
          <w:rFonts w:hint="eastAsia" w:ascii="黑体" w:eastAsia="黑体" w:cs="ArialUnicodeMS"/>
          <w:kern w:val="0"/>
          <w:sz w:val="52"/>
          <w:szCs w:val="52"/>
          <w:lang w:eastAsia="zh-CN"/>
        </w:rPr>
        <w:t>度</w:t>
      </w:r>
      <w:r>
        <w:rPr>
          <w:rFonts w:hint="eastAsia" w:ascii="黑体" w:eastAsia="黑体" w:cs="ArialUnicodeMS"/>
          <w:kern w:val="0"/>
          <w:sz w:val="52"/>
          <w:szCs w:val="52"/>
        </w:rPr>
        <w:t>部门决算</w:t>
      </w: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lang w:eastAsia="zh-CN"/>
        </w:rPr>
      </w:pPr>
    </w:p>
    <w:p>
      <w:pPr>
        <w:rPr>
          <w:rFonts w:hint="eastAsia" w:ascii="ArialUnicodeMS" w:eastAsia="ArialUnicodeMS" w:cs="ArialUnicodeMS"/>
          <w:kern w:val="0"/>
          <w:sz w:val="84"/>
          <w:szCs w:val="84"/>
          <w:lang w:eastAsia="zh-CN"/>
        </w:rPr>
      </w:pPr>
    </w:p>
    <w:p>
      <w:pPr>
        <w:rPr>
          <w:rFonts w:hint="eastAsia" w:ascii="ArialUnicodeMS" w:eastAsia="ArialUnicodeMS" w:cs="ArialUnicodeMS"/>
          <w:kern w:val="0"/>
          <w:sz w:val="84"/>
          <w:szCs w:val="84"/>
          <w:lang w:eastAsia="zh-CN"/>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ind w:firstLine="646"/>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u w:val="single"/>
          <w:lang w:eastAsia="zh-CN"/>
        </w:rPr>
        <w:t>柳州市产品质量安全检验所</w:t>
      </w:r>
      <w:r>
        <w:rPr>
          <w:rFonts w:hint="eastAsia" w:ascii="仿宋_GB2312" w:eastAsia="仿宋_GB2312"/>
          <w:b/>
          <w:sz w:val="32"/>
          <w:szCs w:val="32"/>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rPr>
          <w:rFonts w:hint="eastAsia"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lang w:eastAsia="zh-CN"/>
        </w:rPr>
        <w:t>柳州市产品质量安全检验所</w:t>
      </w:r>
      <w:r>
        <w:rPr>
          <w:rFonts w:hint="eastAsia" w:ascii="仿宋_GB2312" w:eastAsia="仿宋_GB2312"/>
          <w:b/>
          <w:sz w:val="32"/>
          <w:szCs w:val="32"/>
          <w:lang w:eastAsia="zh-CN"/>
        </w:rPr>
        <w:t>201</w:t>
      </w:r>
      <w:r>
        <w:rPr>
          <w:rFonts w:hint="eastAsia" w:ascii="仿宋_GB2312" w:eastAsia="仿宋_GB2312"/>
          <w:b/>
          <w:sz w:val="32"/>
          <w:szCs w:val="32"/>
          <w:lang w:val="en-US" w:eastAsia="zh-CN"/>
        </w:rPr>
        <w:t>9</w:t>
      </w:r>
      <w:r>
        <w:rPr>
          <w:rFonts w:hint="eastAsia" w:ascii="仿宋_GB2312" w:eastAsia="仿宋_GB2312"/>
          <w:b/>
          <w:sz w:val="32"/>
          <w:szCs w:val="32"/>
        </w:rPr>
        <w:t>年部门决算报表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hint="eastAsia"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lang w:eastAsia="zh-CN"/>
        </w:rPr>
        <w:t>柳州市产品质量安全检验所</w:t>
      </w:r>
      <w:r>
        <w:rPr>
          <w:rFonts w:hint="eastAsia" w:ascii="仿宋_GB2312" w:eastAsia="仿宋_GB2312"/>
          <w:b/>
          <w:sz w:val="32"/>
          <w:szCs w:val="32"/>
          <w:lang w:eastAsia="zh-CN"/>
        </w:rPr>
        <w:t>201</w:t>
      </w:r>
      <w:r>
        <w:rPr>
          <w:rFonts w:hint="eastAsia" w:ascii="仿宋_GB2312" w:eastAsia="仿宋_GB2312"/>
          <w:b/>
          <w:sz w:val="32"/>
          <w:szCs w:val="32"/>
          <w:lang w:val="en-US" w:eastAsia="zh-CN"/>
        </w:rPr>
        <w:t>9</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cs="仿宋_GB2312"/>
          <w:kern w:val="0"/>
          <w:sz w:val="32"/>
          <w:szCs w:val="32"/>
          <w:lang w:val="en-US" w:eastAsia="zh-CN"/>
        </w:rPr>
        <w:t>收入</w:t>
      </w:r>
      <w:r>
        <w:rPr>
          <w:rFonts w:hint="eastAsia" w:ascii="仿宋_GB2312" w:eastAsia="仿宋_GB2312" w:cs="仿宋_GB2312"/>
          <w:kern w:val="0"/>
          <w:sz w:val="32"/>
          <w:szCs w:val="32"/>
        </w:rPr>
        <w:t>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cs="仿宋_GB2312"/>
          <w:kern w:val="0"/>
          <w:sz w:val="32"/>
          <w:szCs w:val="32"/>
          <w:lang w:val="en-US" w:eastAsia="zh-CN"/>
        </w:rPr>
        <w:t>支出</w:t>
      </w:r>
      <w:r>
        <w:rPr>
          <w:rFonts w:hint="eastAsia" w:ascii="仿宋_GB2312" w:eastAsia="仿宋_GB2312" w:cs="仿宋_GB2312"/>
          <w:kern w:val="0"/>
          <w:sz w:val="32"/>
          <w:szCs w:val="32"/>
        </w:rPr>
        <w:t>决算情况</w:t>
      </w:r>
    </w:p>
    <w:p>
      <w:pPr>
        <w:autoSpaceDE w:val="0"/>
        <w:autoSpaceDN w:val="0"/>
        <w:adjustRightInd w:val="0"/>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四、</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hint="eastAsia" w:ascii="仿宋_GB2312" w:eastAsia="仿宋_GB2312" w:cs="仿宋_GB2312"/>
          <w:kern w:val="0"/>
          <w:sz w:val="32"/>
          <w:szCs w:val="32"/>
        </w:rPr>
        <w:t>年度</w:t>
      </w:r>
      <w:r>
        <w:rPr>
          <w:rFonts w:hint="eastAsia" w:ascii="仿宋_GB2312" w:eastAsia="仿宋_GB2312" w:cs="仿宋_GB2312"/>
          <w:kern w:val="0"/>
          <w:sz w:val="32"/>
          <w:szCs w:val="32"/>
          <w:lang w:eastAsia="zh-CN"/>
        </w:rPr>
        <w:t>财政拨款收入支出决算情况</w:t>
      </w:r>
    </w:p>
    <w:p>
      <w:pPr>
        <w:autoSpaceDE w:val="0"/>
        <w:autoSpaceDN w:val="0"/>
        <w:adjustRightInd w:val="0"/>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五、</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cs="仿宋_GB2312"/>
          <w:kern w:val="0"/>
          <w:sz w:val="32"/>
          <w:szCs w:val="32"/>
          <w:lang w:eastAsia="zh-CN"/>
        </w:rPr>
        <w:t>一般公共预算财政拨款支出决算情况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六、</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cs="仿宋_GB2312"/>
          <w:kern w:val="0"/>
          <w:sz w:val="32"/>
          <w:szCs w:val="32"/>
          <w:lang w:eastAsia="zh-CN"/>
        </w:rPr>
        <w:t>一般公共预算财政拨款基本支出决算情况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七、</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cs="仿宋_GB2312"/>
          <w:kern w:val="0"/>
          <w:sz w:val="32"/>
          <w:szCs w:val="32"/>
          <w:lang w:eastAsia="zh-CN"/>
        </w:rPr>
        <w:t>一般公共预算财政拨款“三公”经费支出决算情况</w:t>
      </w:r>
    </w:p>
    <w:p>
      <w:pPr>
        <w:autoSpaceDE w:val="0"/>
        <w:autoSpaceDN w:val="0"/>
        <w:adjustRightInd w:val="0"/>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kern w:val="0"/>
          <w:sz w:val="32"/>
          <w:szCs w:val="32"/>
          <w:lang w:eastAsia="zh-CN"/>
        </w:rPr>
        <w:t>八、</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hint="eastAsia" w:ascii="仿宋_GB2312" w:eastAsia="仿宋_GB2312" w:cs="仿宋_GB2312"/>
          <w:bCs/>
          <w:kern w:val="0"/>
          <w:sz w:val="32"/>
          <w:szCs w:val="32"/>
        </w:rPr>
        <w:t xml:space="preserve"> 年度政府性基金预算财政拨款收入支出决算情况</w:t>
      </w:r>
    </w:p>
    <w:p>
      <w:pPr>
        <w:autoSpaceDE w:val="0"/>
        <w:autoSpaceDN w:val="0"/>
        <w:adjustRightInd w:val="0"/>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eastAsia="zh-CN"/>
        </w:rPr>
        <w:t>九、</w:t>
      </w:r>
      <w:r>
        <w:rPr>
          <w:rFonts w:hint="eastAsia" w:eastAsia="仿宋_GB2312"/>
          <w:kern w:val="0"/>
          <w:sz w:val="32"/>
          <w:szCs w:val="32"/>
          <w:lang w:eastAsia="zh-CN"/>
        </w:rPr>
        <w:t>201</w:t>
      </w:r>
      <w:r>
        <w:rPr>
          <w:rFonts w:hint="eastAsia" w:eastAsia="仿宋_GB2312"/>
          <w:kern w:val="0"/>
          <w:sz w:val="32"/>
          <w:szCs w:val="32"/>
          <w:lang w:val="en-US" w:eastAsia="zh-CN"/>
        </w:rPr>
        <w:t>9</w:t>
      </w:r>
      <w:r>
        <w:rPr>
          <w:rFonts w:hint="eastAsia" w:ascii="仿宋_GB2312" w:eastAsia="仿宋_GB2312" w:cs="仿宋_GB2312"/>
          <w:bCs/>
          <w:kern w:val="0"/>
          <w:sz w:val="32"/>
          <w:szCs w:val="32"/>
        </w:rPr>
        <w:t xml:space="preserve"> 年度预算绩效情况说明</w:t>
      </w:r>
    </w:p>
    <w:p>
      <w:pPr>
        <w:autoSpaceDE w:val="0"/>
        <w:autoSpaceDN w:val="0"/>
        <w:adjustRightInd w:val="0"/>
        <w:ind w:firstLine="640" w:firstLineChars="200"/>
        <w:jc w:val="left"/>
        <w:rPr>
          <w:rFonts w:hint="eastAsia" w:ascii="仿宋_GB2312" w:eastAsia="仿宋_GB2312" w:cs="仿宋_GB2312"/>
          <w:b w:val="0"/>
          <w:bCs w:val="0"/>
          <w:kern w:val="0"/>
          <w:sz w:val="32"/>
          <w:szCs w:val="32"/>
        </w:rPr>
      </w:pPr>
      <w:r>
        <w:rPr>
          <w:rFonts w:hint="eastAsia" w:ascii="仿宋_GB2312" w:eastAsia="仿宋_GB2312" w:cs="仿宋_GB2312"/>
          <w:bCs/>
          <w:kern w:val="0"/>
          <w:sz w:val="32"/>
          <w:szCs w:val="32"/>
          <w:lang w:eastAsia="zh-CN"/>
        </w:rPr>
        <w:t>十、</w:t>
      </w:r>
      <w:r>
        <w:rPr>
          <w:rFonts w:hint="eastAsia" w:ascii="仿宋_GB2312" w:eastAsia="仿宋_GB2312" w:cs="仿宋_GB2312"/>
          <w:bCs/>
          <w:kern w:val="0"/>
          <w:sz w:val="32"/>
          <w:szCs w:val="32"/>
        </w:rPr>
        <w:t>其他重要事项的情况说明</w:t>
      </w:r>
    </w:p>
    <w:p>
      <w:pPr>
        <w:ind w:firstLine="645"/>
        <w:rPr>
          <w:rFonts w:hint="eastAsia" w:ascii="仿宋_GB2312" w:eastAsia="仿宋_GB2312"/>
          <w:b/>
          <w:sz w:val="32"/>
          <w:szCs w:val="32"/>
          <w:lang w:eastAsia="zh-CN"/>
        </w:rPr>
      </w:pPr>
      <w:r>
        <w:rPr>
          <w:rFonts w:hint="eastAsia" w:ascii="仿宋_GB2312" w:eastAsia="仿宋_GB2312"/>
          <w:b/>
          <w:sz w:val="32"/>
          <w:szCs w:val="32"/>
        </w:rPr>
        <w:t>第</w:t>
      </w:r>
      <w:r>
        <w:rPr>
          <w:rFonts w:hint="eastAsia" w:ascii="仿宋_GB2312" w:eastAsia="仿宋_GB2312"/>
          <w:b/>
          <w:sz w:val="32"/>
          <w:szCs w:val="32"/>
          <w:lang w:eastAsia="zh-CN"/>
        </w:rPr>
        <w:t>四</w:t>
      </w:r>
      <w:r>
        <w:rPr>
          <w:rFonts w:hint="eastAsia" w:ascii="仿宋_GB2312" w:eastAsia="仿宋_GB2312"/>
          <w:b/>
          <w:sz w:val="32"/>
          <w:szCs w:val="32"/>
        </w:rPr>
        <w:t>部分：</w:t>
      </w:r>
      <w:r>
        <w:rPr>
          <w:rFonts w:hint="eastAsia" w:ascii="仿宋_GB2312" w:eastAsia="仿宋_GB2312"/>
          <w:b/>
          <w:sz w:val="32"/>
          <w:szCs w:val="32"/>
          <w:lang w:eastAsia="zh-CN"/>
        </w:rPr>
        <w:t>名词解释</w:t>
      </w:r>
    </w:p>
    <w:p>
      <w:pPr>
        <w:ind w:firstLine="646"/>
        <w:jc w:val="center"/>
        <w:rPr>
          <w:rFonts w:ascii="仿宋_GB2312" w:eastAsia="仿宋_GB2312"/>
          <w:b/>
          <w:sz w:val="32"/>
          <w:szCs w:val="32"/>
        </w:rPr>
      </w:pPr>
      <w:r>
        <w:rPr>
          <w:rFonts w:hint="eastAsia" w:ascii="仿宋_GB2312" w:eastAsia="仿宋_GB2312" w:cs="仿宋_GB2312"/>
          <w:b w:val="0"/>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u w:val="single"/>
          <w:lang w:eastAsia="zh-CN"/>
        </w:rPr>
        <w:t>柳州市产品质量安全检验所</w:t>
      </w:r>
      <w:r>
        <w:rPr>
          <w:rFonts w:hint="eastAsia" w:ascii="仿宋_GB2312" w:eastAsia="仿宋_GB2312"/>
          <w:b/>
          <w:sz w:val="32"/>
          <w:szCs w:val="32"/>
        </w:rPr>
        <w:t>概况</w:t>
      </w:r>
    </w:p>
    <w:p>
      <w:pPr>
        <w:ind w:firstLine="646"/>
        <w:rPr>
          <w:rFonts w:hint="eastAsia" w:ascii="仿宋_GB2312" w:eastAsia="仿宋_GB2312"/>
          <w:sz w:val="32"/>
          <w:szCs w:val="32"/>
        </w:rPr>
      </w:pPr>
      <w:r>
        <w:rPr>
          <w:rFonts w:hint="eastAsia" w:ascii="仿宋_GB2312" w:eastAsia="仿宋_GB2312"/>
          <w:sz w:val="32"/>
          <w:szCs w:val="32"/>
        </w:rPr>
        <w:t>一、主要职能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_GB2312" w:eastAsia="仿宋_GB2312"/>
          <w:sz w:val="32"/>
          <w:szCs w:val="22"/>
          <w:lang w:eastAsia="zh-CN"/>
        </w:rPr>
        <w:t>根据柳编【</w:t>
      </w:r>
      <w:r>
        <w:rPr>
          <w:rFonts w:hint="eastAsia" w:ascii="仿宋_GB2312" w:hAnsi="仿宋_GB2312" w:eastAsia="仿宋_GB2312"/>
          <w:sz w:val="32"/>
          <w:szCs w:val="22"/>
          <w:lang w:val="en-US" w:eastAsia="zh-CN"/>
        </w:rPr>
        <w:t>2017</w:t>
      </w:r>
      <w:r>
        <w:rPr>
          <w:rFonts w:hint="eastAsia" w:ascii="仿宋_GB2312" w:hAnsi="仿宋_GB2312" w:eastAsia="仿宋_GB2312"/>
          <w:sz w:val="32"/>
          <w:szCs w:val="22"/>
          <w:lang w:eastAsia="zh-CN"/>
        </w:rPr>
        <w:t>】</w:t>
      </w:r>
      <w:r>
        <w:rPr>
          <w:rFonts w:hint="eastAsia" w:ascii="仿宋_GB2312" w:hAnsi="仿宋_GB2312" w:eastAsia="仿宋_GB2312"/>
          <w:sz w:val="32"/>
          <w:szCs w:val="22"/>
          <w:lang w:val="en-US" w:eastAsia="zh-CN"/>
        </w:rPr>
        <w:t>127号文相关精神，</w:t>
      </w:r>
      <w:r>
        <w:rPr>
          <w:rFonts w:hint="eastAsia" w:ascii="仿宋_GB2312" w:hAnsi="仿宋_GB2312" w:eastAsia="仿宋_GB2312"/>
          <w:sz w:val="32"/>
          <w:szCs w:val="22"/>
          <w:lang w:eastAsia="zh-CN"/>
        </w:rPr>
        <w:t>我单位履行产品（农产品、动物性食品、畜牧投入品、粮油产品、食品及食品相关产品、工业产品和原材料等产品）质量安全检验检测等技术保障职能，</w:t>
      </w:r>
      <w:r>
        <w:rPr>
          <w:rFonts w:hint="eastAsia" w:ascii="仿宋_GB2312" w:eastAsia="仿宋_GB2312"/>
          <w:sz w:val="32"/>
          <w:szCs w:val="32"/>
        </w:rPr>
        <w:t>主要承担监督检验、公正检验、仲裁与鉴定、安全风险评估、安全事故技术分析研究与应对、检验检测技术方法标准研究、委托检验检测业务、质量技术咨询培训服务和开展认证认可业务及其技术服务等工作。</w:t>
      </w:r>
    </w:p>
    <w:p>
      <w:pPr>
        <w:numPr>
          <w:ilvl w:val="0"/>
          <w:numId w:val="1"/>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机构情况，包括当年变动情况及原因。</w:t>
      </w:r>
    </w:p>
    <w:p>
      <w:pPr>
        <w:numPr>
          <w:ilvl w:val="0"/>
          <w:numId w:val="0"/>
        </w:numPr>
        <w:snapToGrid w:val="0"/>
        <w:spacing w:line="52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华文仿宋" w:eastAsia="仿宋_GB2312"/>
          <w:color w:val="000000"/>
          <w:sz w:val="32"/>
          <w:szCs w:val="32"/>
          <w:lang w:eastAsia="zh-CN"/>
        </w:rPr>
        <w:t>本部门共有直属单位</w:t>
      </w:r>
      <w:r>
        <w:rPr>
          <w:rFonts w:hint="eastAsia" w:ascii="仿宋_GB2312" w:hAnsi="华文仿宋" w:eastAsia="仿宋_GB2312"/>
          <w:color w:val="000000"/>
          <w:sz w:val="32"/>
          <w:szCs w:val="32"/>
          <w:lang w:val="en-US" w:eastAsia="zh-CN"/>
        </w:rPr>
        <w:t>1</w:t>
      </w:r>
      <w:r>
        <w:rPr>
          <w:rFonts w:hint="eastAsia" w:ascii="仿宋_GB2312" w:hAnsi="华文仿宋" w:eastAsia="仿宋_GB2312"/>
          <w:color w:val="000000"/>
          <w:sz w:val="32"/>
          <w:szCs w:val="32"/>
          <w:lang w:eastAsia="zh-CN"/>
        </w:rPr>
        <w:t>个，</w:t>
      </w:r>
      <w:r>
        <w:rPr>
          <w:rFonts w:hint="eastAsia" w:ascii="仿宋_GB2312" w:hAnsi="仿宋_GB2312" w:eastAsia="仿宋_GB2312" w:cs="Times New Roman"/>
          <w:kern w:val="0"/>
          <w:sz w:val="32"/>
          <w:szCs w:val="22"/>
          <w:lang w:val="en-US" w:eastAsia="zh-CN" w:bidi="ar-SA"/>
        </w:rPr>
        <w:t>为全额拨款事业单位。无增减变动。</w:t>
      </w:r>
    </w:p>
    <w:p>
      <w:pPr>
        <w:numPr>
          <w:ilvl w:val="0"/>
          <w:numId w:val="1"/>
        </w:numPr>
        <w:snapToGrid w:val="0"/>
        <w:spacing w:line="520" w:lineRule="exact"/>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rPr>
        <w:t>人员情况，包括当年变动情况及原因。</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olor w:val="000000"/>
          <w:sz w:val="32"/>
          <w:szCs w:val="32"/>
        </w:rPr>
      </w:pPr>
      <w:r>
        <w:rPr>
          <w:rFonts w:hint="eastAsia" w:ascii="仿宋_GB2312" w:hAnsi="仿宋_GB2312" w:eastAsia="仿宋_GB2312" w:cs="Times New Roman"/>
          <w:kern w:val="0"/>
          <w:sz w:val="32"/>
          <w:szCs w:val="22"/>
          <w:lang w:val="en-US" w:eastAsia="zh-CN" w:bidi="ar-SA"/>
        </w:rPr>
        <w:t>单位2019年</w:t>
      </w:r>
      <w:r>
        <w:rPr>
          <w:rFonts w:hint="eastAsia" w:ascii="仿宋_GB2312" w:hAnsi="华文仿宋" w:eastAsia="仿宋_GB2312"/>
          <w:color w:val="000000"/>
          <w:sz w:val="32"/>
          <w:szCs w:val="32"/>
        </w:rPr>
        <w:t>人员事业编制</w:t>
      </w:r>
      <w:r>
        <w:rPr>
          <w:rFonts w:hint="eastAsia" w:ascii="仿宋_GB2312" w:hAnsi="华文仿宋" w:eastAsia="仿宋_GB2312"/>
          <w:color w:val="000000"/>
          <w:sz w:val="32"/>
          <w:szCs w:val="32"/>
          <w:lang w:val="en-US" w:eastAsia="zh-CN"/>
        </w:rPr>
        <w:t>92</w:t>
      </w:r>
      <w:r>
        <w:rPr>
          <w:rFonts w:hint="eastAsia" w:ascii="仿宋_GB2312" w:hAnsi="华文仿宋" w:eastAsia="仿宋_GB2312"/>
          <w:color w:val="000000"/>
          <w:sz w:val="32"/>
          <w:szCs w:val="32"/>
        </w:rPr>
        <w:t>人。</w:t>
      </w:r>
      <w:r>
        <w:rPr>
          <w:rFonts w:hint="eastAsia" w:ascii="仿宋_GB2312" w:hAnsi="华文仿宋" w:eastAsia="仿宋_GB2312"/>
          <w:color w:val="000000"/>
          <w:sz w:val="32"/>
          <w:szCs w:val="32"/>
          <w:lang w:eastAsia="zh-CN"/>
        </w:rPr>
        <w:t>截至</w:t>
      </w:r>
      <w:r>
        <w:rPr>
          <w:rFonts w:hint="eastAsia" w:ascii="仿宋_GB2312" w:hAnsi="华文仿宋" w:eastAsia="仿宋_GB2312"/>
          <w:color w:val="000000"/>
          <w:sz w:val="32"/>
          <w:szCs w:val="32"/>
          <w:lang w:val="en-US" w:eastAsia="zh-CN"/>
        </w:rPr>
        <w:t>2019年12月31日，</w:t>
      </w:r>
      <w:r>
        <w:rPr>
          <w:rFonts w:hint="eastAsia" w:ascii="仿宋_GB2312" w:hAnsi="华文仿宋" w:eastAsia="仿宋_GB2312"/>
          <w:color w:val="000000"/>
          <w:sz w:val="32"/>
          <w:szCs w:val="32"/>
        </w:rPr>
        <w:t>编内在职</w:t>
      </w:r>
      <w:r>
        <w:rPr>
          <w:rFonts w:hint="eastAsia" w:ascii="仿宋_GB2312" w:hAnsi="华文仿宋" w:eastAsia="仿宋_GB2312"/>
          <w:color w:val="000000"/>
          <w:sz w:val="32"/>
          <w:szCs w:val="32"/>
          <w:lang w:val="en-US" w:eastAsia="zh-CN"/>
        </w:rPr>
        <w:t>87</w:t>
      </w:r>
      <w:r>
        <w:rPr>
          <w:rFonts w:hint="eastAsia" w:ascii="仿宋_GB2312" w:hAnsi="华文仿宋" w:eastAsia="仿宋_GB2312"/>
          <w:color w:val="000000"/>
          <w:sz w:val="32"/>
          <w:szCs w:val="32"/>
        </w:rPr>
        <w:t>人</w:t>
      </w:r>
      <w:r>
        <w:rPr>
          <w:rFonts w:hint="eastAsia" w:ascii="仿宋_GB2312" w:hAnsi="华文仿宋" w:eastAsia="仿宋_GB2312"/>
          <w:color w:val="000000"/>
          <w:sz w:val="32"/>
          <w:szCs w:val="32"/>
          <w:lang w:val="en-US" w:eastAsia="zh-CN"/>
        </w:rPr>
        <w:t>,与上年持平</w:t>
      </w:r>
      <w:r>
        <w:rPr>
          <w:rFonts w:hint="eastAsia" w:ascii="仿宋_GB2312" w:hAnsi="华文仿宋" w:eastAsia="仿宋_GB2312"/>
          <w:color w:val="000000"/>
          <w:sz w:val="32"/>
          <w:szCs w:val="32"/>
        </w:rPr>
        <w:t>。</w:t>
      </w:r>
    </w:p>
    <w:p>
      <w:pPr>
        <w:ind w:firstLine="646"/>
        <w:rPr>
          <w:rFonts w:hint="eastAsia" w:ascii="仿宋_GB2312" w:eastAsia="仿宋_GB2312"/>
          <w:sz w:val="32"/>
          <w:szCs w:val="32"/>
        </w:rPr>
      </w:pPr>
      <w:r>
        <w:rPr>
          <w:rFonts w:hint="eastAsia" w:ascii="仿宋_GB2312" w:eastAsia="仿宋_GB2312"/>
          <w:sz w:val="32"/>
          <w:szCs w:val="32"/>
        </w:rPr>
        <w:t>二、部门决算单位构成</w:t>
      </w:r>
    </w:p>
    <w:tbl>
      <w:tblPr>
        <w:tblStyle w:val="4"/>
        <w:tblW w:w="8528" w:type="dxa"/>
        <w:tblInd w:w="2" w:type="dxa"/>
        <w:tblLayout w:type="fixed"/>
        <w:tblCellMar>
          <w:top w:w="0" w:type="dxa"/>
          <w:left w:w="0" w:type="dxa"/>
          <w:bottom w:w="0" w:type="dxa"/>
          <w:right w:w="0" w:type="dxa"/>
        </w:tblCellMar>
      </w:tblPr>
      <w:tblGrid>
        <w:gridCol w:w="2928"/>
        <w:gridCol w:w="1034"/>
        <w:gridCol w:w="1106"/>
        <w:gridCol w:w="3460"/>
      </w:tblGrid>
      <w:tr>
        <w:tblPrEx>
          <w:tblCellMar>
            <w:top w:w="0" w:type="dxa"/>
            <w:left w:w="0" w:type="dxa"/>
            <w:bottom w:w="0" w:type="dxa"/>
            <w:right w:w="0" w:type="dxa"/>
          </w:tblCellMar>
        </w:tblPrEx>
        <w:trPr>
          <w:trHeight w:val="70" w:hRule="atLeast"/>
        </w:trPr>
        <w:tc>
          <w:tcPr>
            <w:tcW w:w="29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项目</w:t>
            </w:r>
          </w:p>
        </w:tc>
        <w:tc>
          <w:tcPr>
            <w:tcW w:w="10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数量</w:t>
            </w:r>
          </w:p>
        </w:tc>
        <w:tc>
          <w:tcPr>
            <w:tcW w:w="1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比上年增减</w:t>
            </w:r>
          </w:p>
        </w:tc>
        <w:tc>
          <w:tcPr>
            <w:tcW w:w="3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变动原因说明</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合</w:t>
            </w:r>
            <w:r>
              <w:rPr>
                <w:rFonts w:hint="eastAsia" w:ascii="仿宋_GB2312" w:hAnsi="Times New Roman" w:eastAsia="仿宋_GB2312" w:cs="Times New Roman"/>
                <w:color w:val="000000"/>
                <w:sz w:val="24"/>
                <w:szCs w:val="32"/>
              </w:rPr>
              <w:t>    </w:t>
            </w:r>
            <w:r>
              <w:rPr>
                <w:rFonts w:hint="eastAsia" w:ascii="仿宋_GB2312" w:hAnsi="仿宋" w:eastAsia="仿宋_GB2312" w:cs="仿宋_GB2312"/>
                <w:color w:val="000000"/>
                <w:sz w:val="24"/>
                <w:szCs w:val="32"/>
              </w:rPr>
              <w:t>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一、按单位基本性质</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事业单位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sz w:val="24"/>
                <w:szCs w:val="28"/>
                <w:lang w:val="en-US" w:eastAsia="zh-CN"/>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sz w:val="24"/>
                <w:szCs w:val="28"/>
                <w:lang w:val="en-US" w:eastAsia="zh-CN"/>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二、按执行会计制度</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政府</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sz w:val="24"/>
                <w:szCs w:val="28"/>
                <w:lang w:val="en-US" w:eastAsia="zh-CN"/>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sz w:val="24"/>
                <w:szCs w:val="28"/>
                <w:lang w:val="en-US" w:eastAsia="zh-CN"/>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240" w:firstLineChars="100"/>
              <w:rPr>
                <w:rFonts w:ascii="仿宋_GB2312" w:hAnsi="仿宋" w:eastAsia="仿宋_GB2312" w:cs="Times New Roman"/>
                <w:sz w:val="24"/>
                <w:szCs w:val="28"/>
              </w:rPr>
            </w:pPr>
            <w:r>
              <w:rPr>
                <w:rFonts w:hint="eastAsia" w:ascii="仿宋_GB2312" w:hAnsi="仿宋" w:eastAsia="仿宋_GB2312" w:cs="仿宋_GB2312"/>
                <w:color w:val="000000"/>
                <w:sz w:val="24"/>
                <w:szCs w:val="28"/>
              </w:rPr>
              <w:t>民间非营利组织</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w:t>
            </w:r>
            <w:r>
              <w:rPr>
                <w:rFonts w:hint="eastAsia" w:ascii="仿宋_GB2312" w:hAnsi="Times New Roman" w:eastAsia="仿宋_GB2312" w:cs="Times New Roman"/>
                <w:color w:val="000000"/>
                <w:sz w:val="24"/>
                <w:szCs w:val="28"/>
                <w:lang w:val="en-US" w:eastAsia="zh-CN"/>
              </w:rPr>
              <w:t xml:space="preserve"> </w:t>
            </w:r>
            <w:r>
              <w:rPr>
                <w:rFonts w:hint="eastAsia" w:ascii="仿宋_GB2312" w:hAnsi="仿宋" w:eastAsia="仿宋_GB2312" w:cs="仿宋_GB2312"/>
                <w:color w:val="000000"/>
                <w:sz w:val="24"/>
                <w:szCs w:val="28"/>
              </w:rPr>
              <w:t>企业</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三、按单位预算级次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一级预算单位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二级预算单位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仿宋_GB2312" w:hAnsi="仿宋" w:eastAsia="仿宋_GB2312" w:cs="仿宋_GB2312"/>
                <w:color w:val="000000"/>
                <w:sz w:val="24"/>
                <w:szCs w:val="28"/>
                <w:lang w:val="en-US" w:eastAsia="zh-CN"/>
              </w:rPr>
            </w:pPr>
            <w:r>
              <w:rPr>
                <w:rFonts w:hint="eastAsia" w:ascii="仿宋_GB2312" w:hAnsi="仿宋" w:eastAsia="仿宋_GB2312" w:cs="仿宋_GB2312"/>
                <w:color w:val="000000"/>
                <w:sz w:val="24"/>
                <w:szCs w:val="28"/>
                <w:lang w:val="en-US" w:eastAsia="zh-CN"/>
              </w:rPr>
              <w:t xml:space="preserve">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仿宋_GB2312" w:hAnsi="仿宋" w:eastAsia="仿宋_GB2312" w:cs="仿宋_GB2312"/>
                <w:color w:val="000000"/>
                <w:sz w:val="24"/>
                <w:szCs w:val="28"/>
                <w:lang w:val="en-US" w:eastAsia="zh-CN"/>
              </w:rPr>
            </w:pPr>
            <w:r>
              <w:rPr>
                <w:rFonts w:hint="eastAsia" w:ascii="仿宋_GB2312" w:hAnsi="仿宋" w:eastAsia="仿宋_GB2312" w:cs="仿宋_GB2312"/>
                <w:color w:val="000000"/>
                <w:sz w:val="24"/>
                <w:szCs w:val="28"/>
                <w:lang w:val="en-US" w:eastAsia="zh-CN"/>
              </w:rPr>
              <w:t xml:space="preserve">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三级预算单位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四、按事业单位分类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公益一类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公益二类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仿宋_GB2312" w:hAnsi="仿宋" w:eastAsia="仿宋_GB2312" w:cs="仿宋_GB2312"/>
                <w:color w:val="000000"/>
                <w:sz w:val="24"/>
                <w:szCs w:val="28"/>
                <w:lang w:val="en-US" w:eastAsia="zh-CN"/>
              </w:rPr>
            </w:pPr>
            <w:r>
              <w:rPr>
                <w:rFonts w:hint="eastAsia" w:ascii="仿宋_GB2312" w:hAnsi="仿宋" w:eastAsia="仿宋_GB2312" w:cs="仿宋_GB2312"/>
                <w:color w:val="000000"/>
                <w:sz w:val="24"/>
                <w:szCs w:val="28"/>
                <w:lang w:val="en-US" w:eastAsia="zh-CN"/>
              </w:rPr>
              <w:t xml:space="preserve">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生产经营类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暂未明确类别</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bl>
    <w:p>
      <w:pPr>
        <w:ind w:firstLine="645"/>
        <w:rPr>
          <w:rFonts w:hint="eastAsia" w:ascii="仿宋_GB2312" w:eastAsia="仿宋_GB2312"/>
          <w:sz w:val="32"/>
          <w:szCs w:val="32"/>
        </w:rPr>
      </w:pPr>
    </w:p>
    <w:p>
      <w:pPr>
        <w:jc w:val="center"/>
        <w:rPr>
          <w:rFonts w:hint="eastAsia"/>
        </w:rPr>
      </w:pPr>
    </w:p>
    <w:p>
      <w:pPr>
        <w:ind w:firstLine="0"/>
        <w:jc w:val="both"/>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lang w:eastAsia="zh-CN"/>
        </w:rPr>
        <w:t>柳州市产品质量安全检验所</w:t>
      </w:r>
      <w:r>
        <w:rPr>
          <w:rFonts w:hint="eastAsia" w:ascii="仿宋_GB2312" w:eastAsia="仿宋_GB2312"/>
          <w:b/>
          <w:sz w:val="32"/>
          <w:szCs w:val="32"/>
        </w:rPr>
        <w:t xml:space="preserve"> </w:t>
      </w:r>
      <w:r>
        <w:rPr>
          <w:rFonts w:hint="eastAsia" w:ascii="仿宋_GB2312" w:eastAsia="仿宋_GB2312"/>
          <w:b/>
          <w:sz w:val="32"/>
          <w:szCs w:val="32"/>
          <w:lang w:eastAsia="zh-CN"/>
        </w:rPr>
        <w:t>201</w:t>
      </w:r>
      <w:r>
        <w:rPr>
          <w:rFonts w:hint="eastAsia" w:ascii="仿宋_GB2312" w:eastAsia="仿宋_GB2312"/>
          <w:b/>
          <w:sz w:val="32"/>
          <w:szCs w:val="32"/>
          <w:lang w:val="en-US" w:eastAsia="zh-CN"/>
        </w:rPr>
        <w:t>9</w:t>
      </w:r>
      <w:r>
        <w:rPr>
          <w:rFonts w:hint="eastAsia" w:ascii="仿宋_GB2312" w:eastAsia="仿宋_GB2312"/>
          <w:b/>
          <w:sz w:val="32"/>
          <w:szCs w:val="32"/>
        </w:rPr>
        <w:t>年部门决算报表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p>
    <w:p>
      <w:pPr>
        <w:jc w:val="center"/>
        <w:rPr>
          <w:rFonts w:hint="eastAsia"/>
        </w:rPr>
      </w:pPr>
    </w:p>
    <w:p>
      <w:pPr>
        <w:rPr>
          <w:rFonts w:hint="eastAsia"/>
        </w:rPr>
      </w:pPr>
    </w:p>
    <w:tbl>
      <w:tblPr>
        <w:tblStyle w:val="4"/>
        <w:tblW w:w="8720" w:type="dxa"/>
        <w:jc w:val="center"/>
        <w:tblLayout w:type="fixed"/>
        <w:tblCellMar>
          <w:top w:w="0" w:type="dxa"/>
          <w:left w:w="108" w:type="dxa"/>
          <w:bottom w:w="0" w:type="dxa"/>
          <w:right w:w="108" w:type="dxa"/>
        </w:tblCellMar>
      </w:tblPr>
      <w:tblGrid>
        <w:gridCol w:w="2895"/>
        <w:gridCol w:w="1085"/>
        <w:gridCol w:w="3123"/>
        <w:gridCol w:w="1552"/>
        <w:gridCol w:w="65"/>
      </w:tblGrid>
      <w:tr>
        <w:tblPrEx>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表一：收入支出决算总表</w:t>
            </w:r>
          </w:p>
          <w:p>
            <w:pPr>
              <w:widowControl/>
              <w:jc w:val="right"/>
              <w:rPr>
                <w:rFonts w:hint="eastAsia" w:ascii="宋体" w:hAnsi="宋体" w:cs="宋体"/>
                <w:kern w:val="0"/>
                <w:sz w:val="22"/>
                <w:szCs w:val="22"/>
              </w:rPr>
            </w:pPr>
            <w:r>
              <w:rPr>
                <w:rFonts w:hint="eastAsia" w:ascii="宋体" w:hAnsi="宋体" w:cs="宋体"/>
                <w:kern w:val="0"/>
                <w:sz w:val="22"/>
                <w:szCs w:val="22"/>
              </w:rPr>
              <w:t>单位：</w:t>
            </w:r>
            <w:r>
              <w:rPr>
                <w:rFonts w:ascii="宋体" w:hAnsi="宋体" w:cs="宋体"/>
                <w:kern w:val="0"/>
                <w:sz w:val="22"/>
                <w:szCs w:val="22"/>
              </w:rPr>
              <w:t>万元</w:t>
            </w:r>
          </w:p>
        </w:tc>
      </w:tr>
      <w:tr>
        <w:tblPrEx>
          <w:tblCellMar>
            <w:top w:w="0" w:type="dxa"/>
            <w:left w:w="108" w:type="dxa"/>
            <w:bottom w:w="0" w:type="dxa"/>
            <w:right w:w="108" w:type="dxa"/>
          </w:tblCellMar>
        </w:tblPrEx>
        <w:trPr>
          <w:trHeight w:val="270" w:hRule="atLeast"/>
          <w:jc w:val="center"/>
        </w:trPr>
        <w:tc>
          <w:tcPr>
            <w:tcW w:w="3980"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2"/>
                <w:szCs w:val="22"/>
              </w:rPr>
            </w:pPr>
            <w:r>
              <w:rPr>
                <w:rFonts w:hint="eastAsia" w:ascii="宋体" w:hAnsi="宋体" w:cs="宋体"/>
                <w:color w:val="000000"/>
                <w:kern w:val="0"/>
                <w:sz w:val="22"/>
                <w:szCs w:val="22"/>
              </w:rPr>
              <w:t>收    入</w:t>
            </w:r>
          </w:p>
        </w:tc>
        <w:tc>
          <w:tcPr>
            <w:tcW w:w="474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    出</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0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决算数</w:t>
            </w: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一、</w:t>
            </w:r>
            <w:r>
              <w:rPr>
                <w:rFonts w:hint="eastAsia" w:ascii="宋体" w:hAnsi="宋体" w:cs="宋体"/>
                <w:color w:val="000000"/>
                <w:kern w:val="0"/>
                <w:sz w:val="22"/>
                <w:szCs w:val="22"/>
                <w:lang w:eastAsia="zh-CN"/>
              </w:rPr>
              <w:t>一般公共预算财政拨款收入</w:t>
            </w:r>
          </w:p>
        </w:tc>
        <w:tc>
          <w:tcPr>
            <w:tcW w:w="1085"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2266.77</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一、一般公共服务支出</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1918.97</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二、</w:t>
            </w:r>
            <w:r>
              <w:rPr>
                <w:rFonts w:hint="eastAsia" w:ascii="宋体" w:hAnsi="宋体" w:cs="宋体"/>
                <w:color w:val="000000"/>
                <w:kern w:val="0"/>
                <w:sz w:val="22"/>
                <w:szCs w:val="22"/>
                <w:lang w:eastAsia="zh-CN"/>
              </w:rPr>
              <w:t>政府性基金预算财政拨款收入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二、外交支出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三</w:t>
            </w:r>
            <w:r>
              <w:rPr>
                <w:rFonts w:hint="eastAsia" w:ascii="宋体" w:hAnsi="宋体" w:cs="宋体"/>
                <w:color w:val="000000"/>
                <w:kern w:val="0"/>
                <w:sz w:val="22"/>
                <w:szCs w:val="22"/>
              </w:rPr>
              <w:t>、</w:t>
            </w:r>
            <w:r>
              <w:rPr>
                <w:rFonts w:hint="eastAsia" w:ascii="宋体" w:hAnsi="宋体" w:cs="宋体"/>
                <w:color w:val="000000"/>
                <w:kern w:val="0"/>
                <w:sz w:val="22"/>
                <w:szCs w:val="22"/>
                <w:lang w:eastAsia="zh-CN"/>
              </w:rPr>
              <w:t>上级补助</w:t>
            </w:r>
            <w:r>
              <w:rPr>
                <w:rFonts w:hint="eastAsia" w:ascii="宋体" w:hAnsi="宋体" w:cs="宋体"/>
                <w:color w:val="000000"/>
                <w:kern w:val="0"/>
                <w:sz w:val="22"/>
                <w:szCs w:val="22"/>
              </w:rPr>
              <w:t>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三、教育支出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四</w:t>
            </w:r>
            <w:r>
              <w:rPr>
                <w:rFonts w:hint="eastAsia" w:ascii="宋体" w:hAnsi="宋体" w:cs="宋体"/>
                <w:color w:val="000000"/>
                <w:kern w:val="0"/>
                <w:sz w:val="22"/>
                <w:szCs w:val="22"/>
              </w:rPr>
              <w:t>、</w:t>
            </w:r>
            <w:r>
              <w:rPr>
                <w:rFonts w:hint="eastAsia" w:ascii="宋体" w:hAnsi="宋体" w:cs="宋体"/>
                <w:color w:val="000000"/>
                <w:kern w:val="0"/>
                <w:sz w:val="22"/>
                <w:szCs w:val="22"/>
                <w:lang w:eastAsia="zh-CN"/>
              </w:rPr>
              <w:t>事业</w:t>
            </w:r>
            <w:r>
              <w:rPr>
                <w:rFonts w:hint="eastAsia" w:ascii="宋体" w:hAnsi="宋体" w:cs="宋体"/>
                <w:color w:val="000000"/>
                <w:kern w:val="0"/>
                <w:sz w:val="22"/>
                <w:szCs w:val="22"/>
              </w:rPr>
              <w:t>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四、科学技术支出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五</w:t>
            </w:r>
            <w:r>
              <w:rPr>
                <w:rFonts w:hint="eastAsia" w:ascii="宋体" w:hAnsi="宋体" w:cs="宋体"/>
                <w:color w:val="000000"/>
                <w:kern w:val="0"/>
                <w:sz w:val="22"/>
                <w:szCs w:val="22"/>
              </w:rPr>
              <w:t>、</w:t>
            </w:r>
            <w:r>
              <w:rPr>
                <w:rFonts w:hint="eastAsia" w:ascii="宋体" w:hAnsi="宋体" w:cs="宋体"/>
                <w:color w:val="000000"/>
                <w:kern w:val="0"/>
                <w:sz w:val="22"/>
                <w:szCs w:val="22"/>
                <w:lang w:eastAsia="zh-CN"/>
              </w:rPr>
              <w:t>经营</w:t>
            </w:r>
            <w:r>
              <w:rPr>
                <w:rFonts w:hint="eastAsia" w:ascii="宋体" w:hAnsi="宋体" w:cs="宋体"/>
                <w:color w:val="000000"/>
                <w:kern w:val="0"/>
                <w:sz w:val="22"/>
                <w:szCs w:val="22"/>
              </w:rPr>
              <w:t>收入</w:t>
            </w:r>
          </w:p>
        </w:tc>
        <w:tc>
          <w:tcPr>
            <w:tcW w:w="1085"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196.49</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五、文化</w:t>
            </w:r>
            <w:r>
              <w:rPr>
                <w:rFonts w:hint="eastAsia" w:ascii="宋体" w:hAnsi="宋体" w:cs="宋体"/>
                <w:color w:val="000000"/>
                <w:kern w:val="0"/>
                <w:sz w:val="22"/>
                <w:szCs w:val="22"/>
                <w:lang w:eastAsia="zh-CN"/>
              </w:rPr>
              <w:t>旅游体育</w:t>
            </w:r>
            <w:r>
              <w:rPr>
                <w:rFonts w:hint="eastAsia" w:ascii="宋体" w:hAnsi="宋体" w:cs="宋体"/>
                <w:color w:val="000000"/>
                <w:kern w:val="0"/>
                <w:sz w:val="22"/>
                <w:szCs w:val="22"/>
              </w:rPr>
              <w:t>与传媒支出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六、附属单位上缴收入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八、社会保障和就业支出</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198.49</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七</w:t>
            </w:r>
            <w:r>
              <w:rPr>
                <w:rFonts w:hint="eastAsia" w:ascii="宋体" w:hAnsi="宋体" w:cs="宋体"/>
                <w:color w:val="000000"/>
                <w:kern w:val="0"/>
                <w:sz w:val="22"/>
                <w:szCs w:val="22"/>
              </w:rPr>
              <w:t>、其他收入</w:t>
            </w:r>
          </w:p>
        </w:tc>
        <w:tc>
          <w:tcPr>
            <w:tcW w:w="1085"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40.06</w:t>
            </w:r>
          </w:p>
        </w:tc>
        <w:tc>
          <w:tcPr>
            <w:tcW w:w="312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九、卫生健康支出</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61.98</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十九、住房保障支出</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101.99</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本年收入合计</w:t>
            </w:r>
          </w:p>
        </w:tc>
        <w:tc>
          <w:tcPr>
            <w:tcW w:w="108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color w:val="000000"/>
                <w:kern w:val="0"/>
                <w:sz w:val="22"/>
                <w:szCs w:val="22"/>
                <w:lang w:val="en-US" w:eastAsia="zh-CN"/>
              </w:rPr>
            </w:pPr>
            <w:r>
              <w:rPr>
                <w:rFonts w:hint="eastAsia" w:ascii="宋体" w:hAnsi="宋体" w:cs="宋体"/>
                <w:b/>
                <w:color w:val="000000"/>
                <w:kern w:val="0"/>
                <w:sz w:val="22"/>
                <w:szCs w:val="22"/>
                <w:lang w:val="en-US" w:eastAsia="zh-CN"/>
              </w:rPr>
              <w:t>2503.32</w:t>
            </w: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本年支出合计</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b/>
                <w:color w:val="000000"/>
                <w:kern w:val="0"/>
                <w:sz w:val="22"/>
                <w:szCs w:val="22"/>
                <w:lang w:val="en-US" w:eastAsia="zh-CN"/>
              </w:rPr>
            </w:pPr>
            <w:r>
              <w:rPr>
                <w:rFonts w:hint="eastAsia" w:ascii="宋体" w:hAnsi="宋体" w:cs="宋体"/>
                <w:b/>
                <w:color w:val="000000"/>
                <w:kern w:val="0"/>
                <w:sz w:val="22"/>
                <w:szCs w:val="22"/>
              </w:rPr>
              <w:t>　</w:t>
            </w:r>
            <w:r>
              <w:rPr>
                <w:rFonts w:hint="eastAsia" w:ascii="宋体" w:hAnsi="宋体" w:cs="宋体"/>
                <w:b/>
                <w:color w:val="000000"/>
                <w:kern w:val="0"/>
                <w:sz w:val="22"/>
                <w:szCs w:val="22"/>
                <w:lang w:val="en-US" w:eastAsia="zh-CN"/>
              </w:rPr>
              <w:t>2281.44</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用事业基金弥补收支差额</w:t>
            </w:r>
          </w:p>
        </w:tc>
        <w:tc>
          <w:tcPr>
            <w:tcW w:w="1085"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结余分配</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37.95</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年</w:t>
            </w:r>
            <w:r>
              <w:rPr>
                <w:rFonts w:hint="eastAsia" w:ascii="宋体" w:hAnsi="宋体" w:cs="宋体"/>
                <w:color w:val="000000"/>
                <w:kern w:val="0"/>
                <w:sz w:val="22"/>
                <w:szCs w:val="22"/>
                <w:lang w:eastAsia="zh-CN"/>
              </w:rPr>
              <w:t>初</w:t>
            </w:r>
            <w:r>
              <w:rPr>
                <w:rFonts w:hint="eastAsia" w:ascii="宋体" w:hAnsi="宋体" w:cs="宋体"/>
                <w:color w:val="000000"/>
                <w:kern w:val="0"/>
                <w:sz w:val="22"/>
                <w:szCs w:val="22"/>
              </w:rPr>
              <w:t>结转</w:t>
            </w:r>
            <w:r>
              <w:rPr>
                <w:rFonts w:hint="eastAsia" w:ascii="宋体" w:hAnsi="宋体" w:cs="宋体"/>
                <w:color w:val="000000"/>
                <w:kern w:val="0"/>
                <w:sz w:val="22"/>
                <w:szCs w:val="22"/>
                <w:lang w:eastAsia="zh-CN"/>
              </w:rPr>
              <w:t>和结余</w:t>
            </w:r>
          </w:p>
        </w:tc>
        <w:tc>
          <w:tcPr>
            <w:tcW w:w="1085"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424.39</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年末结转与结余</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608.32</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收入总计</w:t>
            </w:r>
          </w:p>
        </w:tc>
        <w:tc>
          <w:tcPr>
            <w:tcW w:w="108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color w:val="000000"/>
                <w:kern w:val="0"/>
                <w:sz w:val="22"/>
                <w:szCs w:val="22"/>
                <w:lang w:val="en-US" w:eastAsia="zh-CN"/>
              </w:rPr>
            </w:pPr>
            <w:r>
              <w:rPr>
                <w:rFonts w:hint="eastAsia" w:ascii="宋体" w:hAnsi="宋体" w:cs="宋体"/>
                <w:b/>
                <w:color w:val="000000"/>
                <w:kern w:val="0"/>
                <w:sz w:val="22"/>
                <w:szCs w:val="22"/>
                <w:lang w:val="en-US" w:eastAsia="zh-CN"/>
              </w:rPr>
              <w:t>2927.72</w:t>
            </w: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支出总计</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b/>
                <w:color w:val="000000"/>
                <w:kern w:val="0"/>
                <w:sz w:val="22"/>
                <w:szCs w:val="22"/>
                <w:lang w:val="en-US" w:eastAsia="zh-CN"/>
              </w:rPr>
            </w:pPr>
            <w:r>
              <w:rPr>
                <w:rFonts w:hint="eastAsia" w:ascii="宋体" w:hAnsi="宋体" w:cs="宋体"/>
                <w:b/>
                <w:color w:val="000000"/>
                <w:kern w:val="0"/>
                <w:sz w:val="22"/>
                <w:szCs w:val="22"/>
              </w:rPr>
              <w:t>　</w:t>
            </w:r>
            <w:r>
              <w:rPr>
                <w:rFonts w:hint="eastAsia" w:ascii="宋体" w:hAnsi="宋体" w:cs="宋体"/>
                <w:b/>
                <w:color w:val="000000"/>
                <w:kern w:val="0"/>
                <w:sz w:val="22"/>
                <w:szCs w:val="22"/>
                <w:lang w:val="en-US" w:eastAsia="zh-CN"/>
              </w:rPr>
              <w:t>2927.72</w:t>
            </w:r>
          </w:p>
        </w:tc>
      </w:tr>
    </w:tbl>
    <w:p>
      <w:pPr>
        <w:rPr>
          <w:rFonts w:hint="eastAsia" w:eastAsia="宋体"/>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588" w:header="851" w:footer="992" w:gutter="0"/>
          <w:cols w:space="720" w:num="1"/>
          <w:docGrid w:type="lines" w:linePitch="312" w:charSpace="0"/>
        </w:sectPr>
      </w:pPr>
      <w:r>
        <w:rPr>
          <w:rFonts w:hint="eastAsia"/>
          <w:lang w:eastAsia="zh-CN"/>
        </w:rPr>
        <w:t>注：本表反映部门本年度的总收支和年末结转结余情况。</w:t>
      </w:r>
    </w:p>
    <w:p>
      <w:pPr>
        <w:jc w:val="center"/>
        <w:rPr>
          <w:rFonts w:hint="eastAsia"/>
        </w:rPr>
      </w:pPr>
      <w:r>
        <w:rPr>
          <w:rFonts w:hint="eastAsia" w:ascii="方正小标宋简体" w:hAnsi="宋体" w:eastAsia="方正小标宋简体" w:cs="宋体"/>
          <w:kern w:val="0"/>
          <w:sz w:val="36"/>
          <w:szCs w:val="36"/>
        </w:rPr>
        <w:t>表二：收入决算表</w:t>
      </w:r>
    </w:p>
    <w:p>
      <w:pPr>
        <w:jc w:val="right"/>
        <w:rPr>
          <w:rFonts w:hint="eastAsia"/>
          <w:sz w:val="22"/>
          <w:szCs w:val="22"/>
        </w:rPr>
      </w:pPr>
      <w:r>
        <w:rPr>
          <w:rFonts w:hint="eastAsia"/>
          <w:sz w:val="22"/>
          <w:szCs w:val="22"/>
        </w:rPr>
        <w:t xml:space="preserve">单位：万元                     </w:t>
      </w:r>
    </w:p>
    <w:tbl>
      <w:tblPr>
        <w:tblStyle w:val="4"/>
        <w:tblW w:w="14140" w:type="dxa"/>
        <w:jc w:val="center"/>
        <w:tblLayout w:type="fixed"/>
        <w:tblCellMar>
          <w:top w:w="0" w:type="dxa"/>
          <w:left w:w="108" w:type="dxa"/>
          <w:bottom w:w="0" w:type="dxa"/>
          <w:right w:w="108" w:type="dxa"/>
        </w:tblCellMar>
      </w:tblPr>
      <w:tblGrid>
        <w:gridCol w:w="1160"/>
        <w:gridCol w:w="2200"/>
        <w:gridCol w:w="1540"/>
        <w:gridCol w:w="1540"/>
        <w:gridCol w:w="1540"/>
        <w:gridCol w:w="1540"/>
        <w:gridCol w:w="1540"/>
        <w:gridCol w:w="1540"/>
        <w:gridCol w:w="1540"/>
      </w:tblGrid>
      <w:tr>
        <w:tblPrEx>
          <w:tblCellMar>
            <w:top w:w="0" w:type="dxa"/>
            <w:left w:w="108" w:type="dxa"/>
            <w:bottom w:w="0" w:type="dxa"/>
            <w:right w:w="108" w:type="dxa"/>
          </w:tblCellMar>
        </w:tblPrEx>
        <w:trPr>
          <w:trHeight w:val="288" w:hRule="atLeast"/>
          <w:jc w:val="center"/>
        </w:trPr>
        <w:tc>
          <w:tcPr>
            <w:tcW w:w="3360"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lang w:eastAsia="zh-CN"/>
              </w:rPr>
              <w:t>支出功能</w:t>
            </w:r>
            <w:r>
              <w:rPr>
                <w:rFonts w:hint="eastAsia" w:ascii="宋体" w:hAnsi="宋体" w:cs="Arial"/>
                <w:kern w:val="0"/>
                <w:sz w:val="22"/>
                <w:szCs w:val="22"/>
              </w:rPr>
              <w:t>项 目</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上级补助收入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事业收入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经营收入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附属单位上缴收入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其他收入</w:t>
            </w:r>
          </w:p>
        </w:tc>
      </w:tr>
      <w:tr>
        <w:tblPrEx>
          <w:tblCellMar>
            <w:top w:w="0" w:type="dxa"/>
            <w:left w:w="108" w:type="dxa"/>
            <w:bottom w:w="0" w:type="dxa"/>
            <w:right w:w="108" w:type="dxa"/>
          </w:tblCellMar>
        </w:tblPrEx>
        <w:trPr>
          <w:trHeight w:val="288"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ascii="宋体" w:hAnsi="宋体" w:cs="Arial"/>
                <w:kern w:val="0"/>
                <w:sz w:val="22"/>
                <w:szCs w:val="22"/>
              </w:rPr>
            </w:pPr>
            <w:r>
              <w:rPr>
                <w:rFonts w:hint="eastAsia" w:ascii="宋体" w:hAnsi="宋体" w:cs="Arial"/>
                <w:kern w:val="0"/>
                <w:sz w:val="22"/>
                <w:szCs w:val="22"/>
                <w:lang w:eastAsia="zh-CN"/>
              </w:rPr>
              <w:t>支出功能分类</w:t>
            </w:r>
            <w:r>
              <w:rPr>
                <w:rFonts w:hint="eastAsia" w:ascii="宋体" w:hAnsi="宋体" w:cs="Arial"/>
                <w:kern w:val="0"/>
                <w:sz w:val="22"/>
                <w:szCs w:val="22"/>
              </w:rPr>
              <w:t>科目编码</w:t>
            </w:r>
          </w:p>
        </w:tc>
        <w:tc>
          <w:tcPr>
            <w:tcW w:w="220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科目名称</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336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b/>
                <w:bCs/>
                <w:kern w:val="0"/>
                <w:sz w:val="22"/>
                <w:szCs w:val="22"/>
              </w:rPr>
              <w:t>栏次</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1</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2</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3</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4</w:t>
            </w:r>
          </w:p>
        </w:tc>
        <w:tc>
          <w:tcPr>
            <w:tcW w:w="1540" w:type="dxa"/>
            <w:tcBorders>
              <w:top w:val="nil"/>
              <w:left w:val="nil"/>
              <w:bottom w:val="single" w:color="auto" w:sz="4" w:space="0"/>
              <w:right w:val="single" w:color="auto" w:sz="4" w:space="0"/>
            </w:tcBorders>
            <w:vAlign w:val="top"/>
          </w:tcPr>
          <w:p>
            <w:pPr>
              <w:widowControl/>
              <w:ind w:firstLine="660" w:firstLineChars="300"/>
              <w:rPr>
                <w:rFonts w:ascii="宋体" w:hAnsi="宋体" w:cs="Arial"/>
                <w:color w:val="000000"/>
                <w:kern w:val="0"/>
                <w:sz w:val="22"/>
                <w:szCs w:val="22"/>
              </w:rPr>
            </w:pPr>
            <w:r>
              <w:rPr>
                <w:rFonts w:hint="eastAsia" w:ascii="宋体" w:hAnsi="宋体" w:cs="Arial"/>
                <w:kern w:val="0"/>
                <w:sz w:val="22"/>
                <w:szCs w:val="22"/>
              </w:rPr>
              <w:t>5</w:t>
            </w:r>
          </w:p>
        </w:tc>
        <w:tc>
          <w:tcPr>
            <w:tcW w:w="1540" w:type="dxa"/>
            <w:tcBorders>
              <w:top w:val="nil"/>
              <w:left w:val="nil"/>
              <w:bottom w:val="single" w:color="auto" w:sz="4" w:space="0"/>
              <w:right w:val="single" w:color="auto" w:sz="4" w:space="0"/>
            </w:tcBorders>
            <w:vAlign w:val="top"/>
          </w:tcPr>
          <w:p>
            <w:pPr>
              <w:widowControl/>
              <w:ind w:firstLine="660" w:firstLineChars="300"/>
              <w:rPr>
                <w:rFonts w:ascii="宋体" w:hAnsi="宋体" w:cs="Arial"/>
                <w:color w:val="000000"/>
                <w:kern w:val="0"/>
                <w:sz w:val="22"/>
                <w:szCs w:val="22"/>
              </w:rPr>
            </w:pPr>
            <w:r>
              <w:rPr>
                <w:rFonts w:hint="eastAsia" w:ascii="宋体" w:hAnsi="宋体" w:cs="Arial"/>
                <w:kern w:val="0"/>
                <w:sz w:val="22"/>
                <w:szCs w:val="22"/>
              </w:rPr>
              <w:t>6</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7</w:t>
            </w:r>
          </w:p>
        </w:tc>
      </w:tr>
      <w:tr>
        <w:tblPrEx>
          <w:tblCellMar>
            <w:top w:w="0" w:type="dxa"/>
            <w:left w:w="108" w:type="dxa"/>
            <w:bottom w:w="0" w:type="dxa"/>
            <w:right w:w="108" w:type="dxa"/>
          </w:tblCellMar>
        </w:tblPrEx>
        <w:trPr>
          <w:trHeight w:val="288" w:hRule="atLeast"/>
          <w:jc w:val="center"/>
        </w:trPr>
        <w:tc>
          <w:tcPr>
            <w:tcW w:w="3360"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540" w:type="dxa"/>
            <w:tcBorders>
              <w:top w:val="nil"/>
              <w:left w:val="nil"/>
              <w:bottom w:val="single" w:color="auto" w:sz="4" w:space="0"/>
              <w:right w:val="single" w:color="auto" w:sz="4" w:space="0"/>
            </w:tcBorders>
            <w:vAlign w:val="top"/>
          </w:tcPr>
          <w:p>
            <w:pPr>
              <w:widowControl/>
              <w:ind w:firstLine="440" w:firstLineChars="2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2503.32</w:t>
            </w:r>
          </w:p>
        </w:tc>
        <w:tc>
          <w:tcPr>
            <w:tcW w:w="1540"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2266.77</w:t>
            </w: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196.49</w:t>
            </w: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440" w:firstLineChars="2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40.06</w:t>
            </w:r>
          </w:p>
        </w:tc>
      </w:tr>
      <w:tr>
        <w:tblPrEx>
          <w:tblCellMar>
            <w:top w:w="0" w:type="dxa"/>
            <w:left w:w="108" w:type="dxa"/>
            <w:bottom w:w="0" w:type="dxa"/>
            <w:right w:w="108" w:type="dxa"/>
          </w:tblCellMar>
        </w:tblPrEx>
        <w:trPr>
          <w:trHeight w:val="288"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2200"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一般公共服务支出</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2139.43</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1902.87</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196.49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40.06</w:t>
            </w:r>
          </w:p>
        </w:tc>
      </w:tr>
      <w:tr>
        <w:tblPrEx>
          <w:tblCellMar>
            <w:top w:w="0" w:type="dxa"/>
            <w:left w:w="108" w:type="dxa"/>
            <w:bottom w:w="0" w:type="dxa"/>
            <w:right w:w="108" w:type="dxa"/>
          </w:tblCellMar>
        </w:tblPrEx>
        <w:trPr>
          <w:trHeight w:val="288"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38</w:t>
            </w:r>
          </w:p>
        </w:tc>
        <w:tc>
          <w:tcPr>
            <w:tcW w:w="22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市场监督管理事务</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2139.43</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1902.87</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eastAsia="宋体" w:cs="Arial"/>
                <w:color w:val="000000"/>
                <w:kern w:val="0"/>
                <w:sz w:val="22"/>
                <w:szCs w:val="22"/>
                <w:lang w:val="en-US" w:eastAsia="zh-CN" w:bidi="ar-SA"/>
              </w:rPr>
            </w:pPr>
          </w:p>
        </w:tc>
        <w:tc>
          <w:tcPr>
            <w:tcW w:w="1540" w:type="dxa"/>
            <w:tcBorders>
              <w:top w:val="nil"/>
              <w:left w:val="nil"/>
              <w:bottom w:val="single" w:color="auto" w:sz="4" w:space="0"/>
              <w:right w:val="single" w:color="auto" w:sz="4" w:space="0"/>
            </w:tcBorders>
            <w:vAlign w:val="top"/>
          </w:tcPr>
          <w:p>
            <w:pPr>
              <w:widowControl/>
              <w:ind w:firstLine="880" w:firstLineChars="400"/>
              <w:jc w:val="left"/>
              <w:rPr>
                <w:rFonts w:ascii="宋体" w:hAnsi="宋体" w:eastAsia="宋体" w:cs="Arial"/>
                <w:color w:val="000000"/>
                <w:kern w:val="0"/>
                <w:sz w:val="22"/>
                <w:szCs w:val="22"/>
                <w:lang w:val="en-US" w:eastAsia="zh-CN" w:bidi="ar-SA"/>
              </w:rPr>
            </w:pP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196.49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eastAsia="宋体" w:cs="Arial"/>
                <w:color w:val="000000"/>
                <w:kern w:val="0"/>
                <w:sz w:val="22"/>
                <w:szCs w:val="22"/>
                <w:lang w:val="en-US" w:eastAsia="zh-CN" w:bidi="ar-SA"/>
              </w:rPr>
            </w:pP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40.06</w:t>
            </w:r>
          </w:p>
        </w:tc>
      </w:tr>
      <w:tr>
        <w:tblPrEx>
          <w:tblCellMar>
            <w:top w:w="0" w:type="dxa"/>
            <w:left w:w="108" w:type="dxa"/>
            <w:bottom w:w="0" w:type="dxa"/>
            <w:right w:w="108" w:type="dxa"/>
          </w:tblCellMar>
        </w:tblPrEx>
        <w:trPr>
          <w:trHeight w:val="288"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2013804</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市场监督管理专项</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54</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54</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1100" w:firstLineChars="5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2013809</w:t>
            </w:r>
          </w:p>
        </w:tc>
        <w:tc>
          <w:tcPr>
            <w:tcW w:w="22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市场监督管理技术支持</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425.64</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385.58</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40.06</w:t>
            </w: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2013811</w:t>
            </w:r>
          </w:p>
        </w:tc>
        <w:tc>
          <w:tcPr>
            <w:tcW w:w="22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标准化管理</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13.2</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13.2</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2013850</w:t>
            </w:r>
          </w:p>
        </w:tc>
        <w:tc>
          <w:tcPr>
            <w:tcW w:w="22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事业运行</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1438.44</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1241.95</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196.49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2013899</w:t>
            </w:r>
          </w:p>
        </w:tc>
        <w:tc>
          <w:tcPr>
            <w:tcW w:w="2200"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其他市场监督管理事务</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208.14</w:t>
            </w:r>
          </w:p>
        </w:tc>
        <w:tc>
          <w:tcPr>
            <w:tcW w:w="154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208.14</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w:t>
            </w:r>
          </w:p>
        </w:tc>
        <w:tc>
          <w:tcPr>
            <w:tcW w:w="22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198.49</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198.49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w:t>
            </w:r>
          </w:p>
        </w:tc>
        <w:tc>
          <w:tcPr>
            <w:tcW w:w="22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187.72</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187.72</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2080502</w:t>
            </w:r>
          </w:p>
        </w:tc>
        <w:tc>
          <w:tcPr>
            <w:tcW w:w="22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rPr>
              <w:t>事业单位离退休</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42.62</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42.62</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2080505</w:t>
            </w:r>
          </w:p>
        </w:tc>
        <w:tc>
          <w:tcPr>
            <w:tcW w:w="22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145.1</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145.1</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20808</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抚恤</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10.77</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10.77</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2080801</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死亡抚恤</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10.77</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10.77</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63.41</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63.41</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63.41</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63.41</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2101102</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cs="Arial"/>
                <w:color w:val="000000"/>
                <w:kern w:val="0"/>
                <w:sz w:val="22"/>
                <w:szCs w:val="22"/>
              </w:rPr>
            </w:pPr>
            <w:r>
              <w:rPr>
                <w:rFonts w:hint="eastAsia" w:ascii="宋体" w:hAnsi="宋体" w:cs="Arial"/>
                <w:color w:val="000000"/>
                <w:kern w:val="0"/>
                <w:sz w:val="22"/>
                <w:szCs w:val="22"/>
              </w:rPr>
              <w:t>事业单位医疗</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63.27</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63.27</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2101199</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其他行政事业单位医疗</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0.14</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0.14</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cs="Arial"/>
                <w:color w:val="000000"/>
                <w:kern w:val="0"/>
                <w:sz w:val="22"/>
                <w:szCs w:val="22"/>
              </w:rPr>
            </w:pPr>
            <w:r>
              <w:rPr>
                <w:rFonts w:hint="eastAsia" w:ascii="宋体" w:hAnsi="宋体" w:cs="Arial"/>
                <w:color w:val="000000"/>
                <w:kern w:val="0"/>
                <w:sz w:val="22"/>
                <w:szCs w:val="22"/>
              </w:rPr>
              <w:t>住房保障支出</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cs="Arial"/>
                <w:color w:val="000000"/>
                <w:kern w:val="0"/>
                <w:sz w:val="22"/>
                <w:szCs w:val="22"/>
              </w:rPr>
            </w:pPr>
            <w:r>
              <w:rPr>
                <w:rFonts w:hint="eastAsia" w:ascii="宋体" w:hAnsi="宋体" w:cs="Arial"/>
                <w:color w:val="000000"/>
                <w:kern w:val="0"/>
                <w:sz w:val="22"/>
                <w:szCs w:val="22"/>
              </w:rPr>
              <w:t>住房改革支出</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16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p>
        </w:tc>
        <w:tc>
          <w:tcPr>
            <w:tcW w:w="22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cs="Arial"/>
                <w:color w:val="000000"/>
                <w:kern w:val="0"/>
                <w:sz w:val="22"/>
                <w:szCs w:val="22"/>
              </w:rPr>
            </w:pPr>
            <w:r>
              <w:rPr>
                <w:rFonts w:hint="eastAsia" w:ascii="宋体" w:hAnsi="宋体" w:cs="Arial"/>
                <w:color w:val="000000"/>
                <w:kern w:val="0"/>
                <w:sz w:val="22"/>
                <w:szCs w:val="22"/>
              </w:rPr>
              <w:t>住房公积金</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540" w:type="dxa"/>
            <w:tcBorders>
              <w:top w:val="nil"/>
              <w:left w:val="nil"/>
              <w:bottom w:val="single" w:color="auto" w:sz="4" w:space="0"/>
              <w:right w:val="single" w:color="auto" w:sz="4" w:space="0"/>
            </w:tcBorders>
            <w:vAlign w:val="top"/>
          </w:tcPr>
          <w:p>
            <w:pPr>
              <w:widowControl/>
              <w:ind w:firstLine="0" w:firstLineChars="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bl>
    <w:p>
      <w:pPr>
        <w:rPr>
          <w:rFonts w:hint="eastAsia"/>
        </w:rPr>
      </w:pPr>
    </w:p>
    <w:p>
      <w:pPr>
        <w:rPr>
          <w:rFonts w:hint="eastAsia" w:eastAsia="宋体"/>
          <w:lang w:eastAsia="zh-CN"/>
        </w:rPr>
      </w:pPr>
      <w:r>
        <w:rPr>
          <w:rFonts w:hint="eastAsia"/>
          <w:lang w:eastAsia="zh-CN"/>
        </w:rPr>
        <w:t>注：本表反映部门本年度取得的各项收入情况。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rPr>
      </w:pPr>
      <w:r>
        <w:rPr>
          <w:rFonts w:hint="eastAsia" w:ascii="方正小标宋简体" w:hAnsi="宋体" w:eastAsia="方正小标宋简体" w:cs="宋体"/>
          <w:kern w:val="0"/>
          <w:sz w:val="36"/>
          <w:szCs w:val="36"/>
        </w:rPr>
        <w:t>表三：支出决算表</w:t>
      </w:r>
    </w:p>
    <w:p>
      <w:pPr>
        <w:jc w:val="right"/>
        <w:rPr>
          <w:rFonts w:hint="eastAsia"/>
        </w:rPr>
      </w:pPr>
      <w:r>
        <w:rPr>
          <w:rFonts w:hint="eastAsia"/>
          <w:sz w:val="22"/>
          <w:szCs w:val="22"/>
        </w:rPr>
        <w:t>单位：万元</w:t>
      </w:r>
    </w:p>
    <w:tbl>
      <w:tblPr>
        <w:tblStyle w:val="4"/>
        <w:tblW w:w="14049" w:type="dxa"/>
        <w:jc w:val="center"/>
        <w:tblLayout w:type="fixed"/>
        <w:tblCellMar>
          <w:top w:w="0" w:type="dxa"/>
          <w:left w:w="108" w:type="dxa"/>
          <w:bottom w:w="0" w:type="dxa"/>
          <w:right w:w="108" w:type="dxa"/>
        </w:tblCellMar>
      </w:tblPr>
      <w:tblGrid>
        <w:gridCol w:w="1180"/>
        <w:gridCol w:w="1812"/>
        <w:gridCol w:w="1985"/>
        <w:gridCol w:w="1842"/>
        <w:gridCol w:w="1701"/>
        <w:gridCol w:w="1701"/>
        <w:gridCol w:w="1843"/>
        <w:gridCol w:w="1985"/>
      </w:tblGrid>
      <w:tr>
        <w:tblPrEx>
          <w:tblCellMar>
            <w:top w:w="0" w:type="dxa"/>
            <w:left w:w="108" w:type="dxa"/>
            <w:bottom w:w="0" w:type="dxa"/>
            <w:right w:w="108" w:type="dxa"/>
          </w:tblCellMar>
        </w:tblPrEx>
        <w:trPr>
          <w:trHeight w:val="288" w:hRule="atLeast"/>
          <w:jc w:val="center"/>
        </w:trPr>
        <w:tc>
          <w:tcPr>
            <w:tcW w:w="29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lang w:eastAsia="zh-CN"/>
              </w:rPr>
              <w:t>支出功能</w:t>
            </w:r>
            <w:r>
              <w:rPr>
                <w:rFonts w:hint="eastAsia" w:ascii="宋体" w:hAnsi="宋体" w:cs="Arial"/>
                <w:kern w:val="0"/>
                <w:sz w:val="22"/>
                <w:szCs w:val="22"/>
              </w:rPr>
              <w:t>项 目</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本年支出合计</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基本支出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项目支出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上缴上级支出</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经营支出</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对附属单位补助支出</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lang w:eastAsia="zh-CN"/>
              </w:rPr>
              <w:t>支出功能分类</w:t>
            </w:r>
            <w:r>
              <w:rPr>
                <w:rFonts w:hint="eastAsia" w:ascii="宋体" w:hAnsi="宋体" w:cs="Arial"/>
                <w:kern w:val="0"/>
                <w:sz w:val="22"/>
                <w:szCs w:val="22"/>
              </w:rPr>
              <w:t>科目编码</w:t>
            </w:r>
          </w:p>
        </w:tc>
        <w:tc>
          <w:tcPr>
            <w:tcW w:w="181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科目名称</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r>
      <w:tr>
        <w:tblPrEx>
          <w:tblCellMar>
            <w:top w:w="0" w:type="dxa"/>
            <w:left w:w="108" w:type="dxa"/>
            <w:bottom w:w="0" w:type="dxa"/>
            <w:right w:w="108" w:type="dxa"/>
          </w:tblCellMar>
        </w:tblPrEx>
        <w:trPr>
          <w:trHeight w:val="288" w:hRule="atLeast"/>
          <w:jc w:val="center"/>
        </w:trPr>
        <w:tc>
          <w:tcPr>
            <w:tcW w:w="2992" w:type="dxa"/>
            <w:gridSpan w:val="2"/>
            <w:tcBorders>
              <w:top w:val="single" w:color="auto" w:sz="4" w:space="0"/>
              <w:left w:val="single" w:color="auto" w:sz="4" w:space="0"/>
              <w:bottom w:val="single" w:color="auto" w:sz="4" w:space="0"/>
              <w:right w:val="single" w:color="auto" w:sz="4" w:space="0"/>
            </w:tcBorders>
            <w:vAlign w:val="top"/>
          </w:tcPr>
          <w:p>
            <w:pPr>
              <w:widowControl/>
              <w:ind w:firstLine="1980" w:firstLineChars="900"/>
              <w:jc w:val="left"/>
              <w:rPr>
                <w:rFonts w:ascii="宋体" w:hAnsi="宋体" w:cs="Arial"/>
                <w:color w:val="000000"/>
                <w:kern w:val="0"/>
                <w:sz w:val="22"/>
                <w:szCs w:val="22"/>
              </w:rPr>
            </w:pPr>
            <w:r>
              <w:rPr>
                <w:rFonts w:hint="eastAsia" w:ascii="宋体" w:hAnsi="宋体" w:cs="Arial"/>
                <w:kern w:val="0"/>
                <w:sz w:val="22"/>
                <w:szCs w:val="22"/>
              </w:rPr>
              <w:t>栏次</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1</w:t>
            </w:r>
          </w:p>
        </w:tc>
        <w:tc>
          <w:tcPr>
            <w:tcW w:w="1842"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2</w:t>
            </w:r>
          </w:p>
        </w:tc>
        <w:tc>
          <w:tcPr>
            <w:tcW w:w="1701"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3</w:t>
            </w:r>
          </w:p>
        </w:tc>
        <w:tc>
          <w:tcPr>
            <w:tcW w:w="170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4</w:t>
            </w:r>
          </w:p>
        </w:tc>
        <w:tc>
          <w:tcPr>
            <w:tcW w:w="1843"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5</w:t>
            </w:r>
          </w:p>
        </w:tc>
        <w:tc>
          <w:tcPr>
            <w:tcW w:w="1985"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6</w:t>
            </w:r>
          </w:p>
        </w:tc>
      </w:tr>
      <w:tr>
        <w:tblPrEx>
          <w:tblCellMar>
            <w:top w:w="0" w:type="dxa"/>
            <w:left w:w="108" w:type="dxa"/>
            <w:bottom w:w="0" w:type="dxa"/>
            <w:right w:w="108" w:type="dxa"/>
          </w:tblCellMar>
        </w:tblPrEx>
        <w:trPr>
          <w:trHeight w:val="288" w:hRule="atLeast"/>
          <w:jc w:val="center"/>
        </w:trPr>
        <w:tc>
          <w:tcPr>
            <w:tcW w:w="2992" w:type="dxa"/>
            <w:gridSpan w:val="2"/>
            <w:tcBorders>
              <w:top w:val="single" w:color="auto" w:sz="4" w:space="0"/>
              <w:left w:val="single" w:color="auto" w:sz="4" w:space="0"/>
              <w:bottom w:val="single" w:color="auto" w:sz="4" w:space="0"/>
              <w:right w:val="single" w:color="auto" w:sz="4" w:space="0"/>
            </w:tcBorders>
            <w:vAlign w:val="top"/>
          </w:tcPr>
          <w:p>
            <w:pPr>
              <w:widowControl/>
              <w:ind w:firstLine="1980" w:firstLineChars="900"/>
              <w:jc w:val="left"/>
              <w:rPr>
                <w:rFonts w:ascii="宋体" w:hAnsi="宋体" w:cs="Arial"/>
                <w:color w:val="000000"/>
                <w:kern w:val="0"/>
                <w:sz w:val="22"/>
                <w:szCs w:val="22"/>
              </w:rPr>
            </w:pPr>
            <w:r>
              <w:rPr>
                <w:rFonts w:hint="eastAsia" w:ascii="宋体" w:hAnsi="宋体" w:cs="Arial"/>
                <w:kern w:val="0"/>
                <w:sz w:val="22"/>
                <w:szCs w:val="22"/>
              </w:rPr>
              <w:t>合计</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2281.44</w:t>
            </w:r>
            <w:r>
              <w:rPr>
                <w:rFonts w:hint="eastAsia" w:ascii="宋体" w:hAnsi="宋体" w:cs="Arial"/>
                <w:color w:val="000000"/>
                <w:kern w:val="0"/>
                <w:sz w:val="22"/>
                <w:szCs w:val="22"/>
              </w:rPr>
              <w:t>　</w:t>
            </w:r>
          </w:p>
        </w:tc>
        <w:tc>
          <w:tcPr>
            <w:tcW w:w="1842" w:type="dxa"/>
            <w:tcBorders>
              <w:top w:val="nil"/>
              <w:left w:val="nil"/>
              <w:bottom w:val="single" w:color="auto" w:sz="4" w:space="0"/>
              <w:right w:val="single" w:color="auto" w:sz="4" w:space="0"/>
            </w:tcBorders>
            <w:vAlign w:val="top"/>
          </w:tcPr>
          <w:p>
            <w:pPr>
              <w:widowControl/>
              <w:ind w:firstLine="660" w:firstLineChars="3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1585.86</w:t>
            </w:r>
          </w:p>
        </w:tc>
        <w:tc>
          <w:tcPr>
            <w:tcW w:w="1701"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537.04</w:t>
            </w: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880" w:firstLineChars="4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158.84</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201</w:t>
            </w:r>
          </w:p>
        </w:tc>
        <w:tc>
          <w:tcPr>
            <w:tcW w:w="181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一般公共服务支出</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1918.97</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1223.39</w:t>
            </w:r>
          </w:p>
        </w:tc>
        <w:tc>
          <w:tcPr>
            <w:tcW w:w="1701"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537.04</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158.84</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38</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市场监督管理事务</w:t>
            </w:r>
          </w:p>
        </w:tc>
        <w:tc>
          <w:tcPr>
            <w:tcW w:w="1985"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1918.97</w:t>
            </w:r>
          </w:p>
        </w:tc>
        <w:tc>
          <w:tcPr>
            <w:tcW w:w="184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1223.39</w:t>
            </w:r>
          </w:p>
        </w:tc>
        <w:tc>
          <w:tcPr>
            <w:tcW w:w="1701"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537.04</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eastAsia="宋体" w:cs="Arial"/>
                <w:color w:val="000000"/>
                <w:kern w:val="0"/>
                <w:sz w:val="22"/>
                <w:szCs w:val="22"/>
                <w:lang w:val="en-US" w:eastAsia="zh-CN" w:bidi="ar-SA"/>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158.84</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2013804</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市场监督管理专项</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18.17</w:t>
            </w:r>
          </w:p>
        </w:tc>
        <w:tc>
          <w:tcPr>
            <w:tcW w:w="1842" w:type="dxa"/>
            <w:tcBorders>
              <w:top w:val="nil"/>
              <w:left w:val="nil"/>
              <w:bottom w:val="single" w:color="auto" w:sz="4" w:space="0"/>
              <w:right w:val="single" w:color="auto" w:sz="4" w:space="0"/>
            </w:tcBorders>
            <w:vAlign w:val="top"/>
          </w:tcPr>
          <w:p>
            <w:pPr>
              <w:widowControl/>
              <w:ind w:firstLine="1100" w:firstLineChars="5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18.17</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2013809</w:t>
            </w:r>
          </w:p>
        </w:tc>
        <w:tc>
          <w:tcPr>
            <w:tcW w:w="181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市场监督管理技术支持</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333.89</w:t>
            </w:r>
          </w:p>
        </w:tc>
        <w:tc>
          <w:tcPr>
            <w:tcW w:w="1842" w:type="dxa"/>
            <w:tcBorders>
              <w:top w:val="nil"/>
              <w:left w:val="nil"/>
              <w:bottom w:val="single" w:color="auto" w:sz="4" w:space="0"/>
              <w:right w:val="single" w:color="auto" w:sz="4" w:space="0"/>
            </w:tcBorders>
            <w:vAlign w:val="top"/>
          </w:tcPr>
          <w:p>
            <w:pPr>
              <w:widowControl/>
              <w:ind w:firstLine="1100" w:firstLineChars="5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333.89</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2013811</w:t>
            </w:r>
          </w:p>
        </w:tc>
        <w:tc>
          <w:tcPr>
            <w:tcW w:w="181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标准化管理</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13.2</w:t>
            </w:r>
          </w:p>
        </w:tc>
        <w:tc>
          <w:tcPr>
            <w:tcW w:w="1842" w:type="dxa"/>
            <w:tcBorders>
              <w:top w:val="nil"/>
              <w:left w:val="nil"/>
              <w:bottom w:val="single" w:color="auto" w:sz="4" w:space="0"/>
              <w:right w:val="single" w:color="auto" w:sz="4" w:space="0"/>
            </w:tcBorders>
            <w:vAlign w:val="top"/>
          </w:tcPr>
          <w:p>
            <w:pPr>
              <w:widowControl/>
              <w:ind w:firstLine="1100" w:firstLineChars="5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13.2</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2013850</w:t>
            </w:r>
          </w:p>
        </w:tc>
        <w:tc>
          <w:tcPr>
            <w:tcW w:w="181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事业运行</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1381.93</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1223.39</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158.84</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2013899</w:t>
            </w:r>
          </w:p>
        </w:tc>
        <w:tc>
          <w:tcPr>
            <w:tcW w:w="181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其他市场监督管理事务</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171.77</w:t>
            </w:r>
          </w:p>
        </w:tc>
        <w:tc>
          <w:tcPr>
            <w:tcW w:w="1842" w:type="dxa"/>
            <w:tcBorders>
              <w:top w:val="nil"/>
              <w:left w:val="nil"/>
              <w:bottom w:val="single" w:color="auto" w:sz="4" w:space="0"/>
              <w:right w:val="single" w:color="auto" w:sz="4" w:space="0"/>
            </w:tcBorders>
            <w:vAlign w:val="top"/>
          </w:tcPr>
          <w:p>
            <w:pPr>
              <w:widowControl/>
              <w:ind w:firstLine="1100" w:firstLineChars="5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171.77</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208</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社会保障和就业支出</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198.49</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198.49</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20805</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行政事业单位离退休</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187.72</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187.72</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2080502</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事业单位离退休</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42.62</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42.62</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2080505</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机关事业单位基本养老保险缴费支出</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145.1</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145.1</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20808</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抚恤</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10.77</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10.77</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2080801</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死亡抚恤</w:t>
            </w:r>
          </w:p>
        </w:tc>
        <w:tc>
          <w:tcPr>
            <w:tcW w:w="1985"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10.77</w:t>
            </w:r>
          </w:p>
        </w:tc>
        <w:tc>
          <w:tcPr>
            <w:tcW w:w="184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10.77</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210</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医疗卫生与计划生育支出</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61.98</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61.98</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21011</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行政事业单位医疗</w:t>
            </w:r>
          </w:p>
        </w:tc>
        <w:tc>
          <w:tcPr>
            <w:tcW w:w="1985"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184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2101102</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事业单位医疗</w:t>
            </w:r>
          </w:p>
        </w:tc>
        <w:tc>
          <w:tcPr>
            <w:tcW w:w="1985"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184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221</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住房保障支出</w:t>
            </w:r>
          </w:p>
        </w:tc>
        <w:tc>
          <w:tcPr>
            <w:tcW w:w="1985"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842"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22102</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住房改革支出</w:t>
            </w:r>
          </w:p>
        </w:tc>
        <w:tc>
          <w:tcPr>
            <w:tcW w:w="1985"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101.99</w:t>
            </w:r>
          </w:p>
        </w:tc>
        <w:tc>
          <w:tcPr>
            <w:tcW w:w="184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101.99</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2210201</w:t>
            </w:r>
          </w:p>
        </w:tc>
        <w:tc>
          <w:tcPr>
            <w:tcW w:w="1812"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住房公积金</w:t>
            </w:r>
          </w:p>
        </w:tc>
        <w:tc>
          <w:tcPr>
            <w:tcW w:w="1985"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101.99</w:t>
            </w:r>
          </w:p>
        </w:tc>
        <w:tc>
          <w:tcPr>
            <w:tcW w:w="184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101.99</w:t>
            </w:r>
          </w:p>
        </w:tc>
        <w:tc>
          <w:tcPr>
            <w:tcW w:w="1701" w:type="dxa"/>
            <w:tcBorders>
              <w:top w:val="nil"/>
              <w:left w:val="nil"/>
              <w:bottom w:val="single" w:color="auto" w:sz="4" w:space="0"/>
              <w:right w:val="single" w:color="auto" w:sz="4" w:space="0"/>
            </w:tcBorders>
            <w:vAlign w:val="top"/>
          </w:tcPr>
          <w:p>
            <w:pPr>
              <w:widowControl/>
              <w:ind w:firstLine="1320" w:firstLineChars="6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bl>
    <w:p>
      <w:pPr>
        <w:rPr>
          <w:rFonts w:hint="eastAsia"/>
        </w:rPr>
      </w:pPr>
    </w:p>
    <w:p>
      <w:pPr>
        <w:rPr>
          <w:rFonts w:hint="eastAsia" w:eastAsia="宋体"/>
          <w:lang w:eastAsia="zh-CN"/>
        </w:rPr>
      </w:pPr>
      <w:r>
        <w:rPr>
          <w:rFonts w:hint="eastAsia"/>
          <w:lang w:eastAsia="zh-CN"/>
        </w:rPr>
        <w:t>注：本表反映部门本年度各项支出情况。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3600" w:firstLineChars="1000"/>
        <w:jc w:val="both"/>
        <w:rPr>
          <w:rFonts w:hint="eastAsia"/>
        </w:rPr>
      </w:pPr>
      <w:r>
        <w:rPr>
          <w:rFonts w:hint="eastAsia" w:ascii="方正小标宋简体" w:hAnsi="宋体" w:eastAsia="方正小标宋简体" w:cs="宋体"/>
          <w:kern w:val="0"/>
          <w:sz w:val="36"/>
          <w:szCs w:val="36"/>
        </w:rPr>
        <w:t>表四：财政拨款收入支出决算总表</w:t>
      </w:r>
    </w:p>
    <w:tbl>
      <w:tblPr>
        <w:tblStyle w:val="4"/>
        <w:tblpPr w:leftFromText="180" w:rightFromText="180" w:vertAnchor="text" w:horzAnchor="page" w:tblpX="1768" w:tblpY="24"/>
        <w:tblOverlap w:val="never"/>
        <w:tblW w:w="13765" w:type="dxa"/>
        <w:tblInd w:w="0" w:type="dxa"/>
        <w:tblLayout w:type="fixed"/>
        <w:tblCellMar>
          <w:top w:w="0" w:type="dxa"/>
          <w:left w:w="108" w:type="dxa"/>
          <w:bottom w:w="0" w:type="dxa"/>
          <w:right w:w="108" w:type="dxa"/>
        </w:tblCellMar>
      </w:tblPr>
      <w:tblGrid>
        <w:gridCol w:w="4390"/>
        <w:gridCol w:w="675"/>
        <w:gridCol w:w="1170"/>
        <w:gridCol w:w="3117"/>
        <w:gridCol w:w="681"/>
        <w:gridCol w:w="1267"/>
        <w:gridCol w:w="1149"/>
        <w:gridCol w:w="1316"/>
      </w:tblGrid>
      <w:tr>
        <w:tblPrEx>
          <w:tblCellMar>
            <w:top w:w="0" w:type="dxa"/>
            <w:left w:w="108" w:type="dxa"/>
            <w:bottom w:w="0" w:type="dxa"/>
            <w:right w:w="108" w:type="dxa"/>
          </w:tblCellMar>
        </w:tblPrEx>
        <w:trPr>
          <w:trHeight w:val="300" w:hRule="atLeast"/>
        </w:trPr>
        <w:tc>
          <w:tcPr>
            <w:tcW w:w="6235" w:type="dxa"/>
            <w:gridSpan w:val="3"/>
            <w:tcBorders>
              <w:top w:val="single" w:color="auto" w:sz="4" w:space="0"/>
              <w:left w:val="single" w:color="auto" w:sz="4" w:space="0"/>
              <w:bottom w:val="single" w:color="auto" w:sz="4" w:space="0"/>
              <w:right w:val="single" w:color="000000"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收 入</w:t>
            </w:r>
          </w:p>
        </w:tc>
        <w:tc>
          <w:tcPr>
            <w:tcW w:w="7530" w:type="dxa"/>
            <w:gridSpan w:val="5"/>
            <w:tcBorders>
              <w:top w:val="single" w:color="auto" w:sz="4" w:space="0"/>
              <w:left w:val="nil"/>
              <w:bottom w:val="single" w:color="auto" w:sz="4" w:space="0"/>
              <w:right w:val="single" w:color="000000"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支 出</w:t>
            </w:r>
          </w:p>
        </w:tc>
      </w:tr>
      <w:tr>
        <w:tblPrEx>
          <w:tblCellMar>
            <w:top w:w="0" w:type="dxa"/>
            <w:left w:w="108" w:type="dxa"/>
            <w:bottom w:w="0" w:type="dxa"/>
            <w:right w:w="108" w:type="dxa"/>
          </w:tblCellMar>
        </w:tblPrEx>
        <w:trPr>
          <w:trHeight w:val="732" w:hRule="atLeast"/>
        </w:trPr>
        <w:tc>
          <w:tcPr>
            <w:tcW w:w="439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 目</w:t>
            </w:r>
          </w:p>
        </w:tc>
        <w:tc>
          <w:tcPr>
            <w:tcW w:w="675"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行次</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金额</w:t>
            </w:r>
          </w:p>
        </w:tc>
        <w:tc>
          <w:tcPr>
            <w:tcW w:w="311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 目</w:t>
            </w:r>
          </w:p>
        </w:tc>
        <w:tc>
          <w:tcPr>
            <w:tcW w:w="681"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行次</w:t>
            </w:r>
          </w:p>
        </w:tc>
        <w:tc>
          <w:tcPr>
            <w:tcW w:w="126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149"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一般公共预算财政拨款</w:t>
            </w:r>
          </w:p>
        </w:tc>
        <w:tc>
          <w:tcPr>
            <w:tcW w:w="1316"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政府性基金预算财政拨款</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栏 次</w:t>
            </w:r>
          </w:p>
        </w:tc>
        <w:tc>
          <w:tcPr>
            <w:tcW w:w="67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7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117"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栏 次</w:t>
            </w:r>
          </w:p>
        </w:tc>
        <w:tc>
          <w:tcPr>
            <w:tcW w:w="681"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6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4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1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kern w:val="0"/>
                <w:sz w:val="22"/>
                <w:szCs w:val="22"/>
              </w:rPr>
              <w:t>一、一般公共预算财政拨款</w:t>
            </w:r>
            <w:r>
              <w:rPr>
                <w:rFonts w:hint="eastAsia" w:ascii="宋体" w:hAnsi="宋体" w:cs="Arial"/>
                <w:kern w:val="0"/>
                <w:sz w:val="22"/>
                <w:szCs w:val="22"/>
                <w:lang w:eastAsia="zh-CN"/>
              </w:rPr>
              <w:t>收入</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70"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2266.77</w:t>
            </w: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一、一般公共服务支出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26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1741.25</w:t>
            </w: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1741.25</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kern w:val="0"/>
                <w:sz w:val="22"/>
                <w:szCs w:val="22"/>
              </w:rPr>
              <w:t>二、政府性基金预算财政拨款</w:t>
            </w:r>
            <w:r>
              <w:rPr>
                <w:rFonts w:hint="eastAsia" w:ascii="宋体" w:hAnsi="宋体" w:cs="Arial"/>
                <w:kern w:val="0"/>
                <w:sz w:val="22"/>
                <w:szCs w:val="22"/>
                <w:lang w:eastAsia="zh-CN"/>
              </w:rPr>
              <w:t>收入</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70"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二、外交支出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267"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三、教育支出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267"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四、科学技术支出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267"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五、文化</w:t>
            </w:r>
            <w:r>
              <w:rPr>
                <w:rFonts w:hint="eastAsia" w:ascii="宋体" w:hAnsi="宋体" w:cs="Arial"/>
                <w:kern w:val="0"/>
                <w:sz w:val="22"/>
                <w:szCs w:val="22"/>
                <w:lang w:eastAsia="zh-CN"/>
              </w:rPr>
              <w:t>旅游</w:t>
            </w:r>
            <w:r>
              <w:rPr>
                <w:rFonts w:hint="eastAsia" w:ascii="宋体" w:hAnsi="宋体" w:cs="Arial"/>
                <w:kern w:val="0"/>
                <w:sz w:val="22"/>
                <w:szCs w:val="22"/>
              </w:rPr>
              <w:t>体育与传媒支出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267"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lang w:eastAsia="zh-CN"/>
              </w:rPr>
              <w:t>八</w:t>
            </w:r>
            <w:r>
              <w:rPr>
                <w:rFonts w:hint="eastAsia" w:ascii="宋体" w:hAnsi="宋体" w:cs="Arial"/>
                <w:kern w:val="0"/>
                <w:sz w:val="22"/>
                <w:szCs w:val="22"/>
              </w:rPr>
              <w:t>、社会保障和就业支出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267" w:type="dxa"/>
            <w:tcBorders>
              <w:top w:val="nil"/>
              <w:left w:val="nil"/>
              <w:bottom w:val="single" w:color="auto" w:sz="4" w:space="0"/>
              <w:right w:val="single" w:color="auto" w:sz="4" w:space="0"/>
            </w:tcBorders>
            <w:vAlign w:val="top"/>
          </w:tcPr>
          <w:p>
            <w:pPr>
              <w:widowControl/>
              <w:jc w:val="left"/>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198.49</w:t>
            </w:r>
          </w:p>
        </w:tc>
        <w:tc>
          <w:tcPr>
            <w:tcW w:w="1149" w:type="dxa"/>
            <w:tcBorders>
              <w:top w:val="nil"/>
              <w:left w:val="nil"/>
              <w:bottom w:val="single" w:color="auto" w:sz="4" w:space="0"/>
              <w:right w:val="single" w:color="auto" w:sz="4" w:space="0"/>
            </w:tcBorders>
            <w:vAlign w:val="top"/>
          </w:tcPr>
          <w:p>
            <w:pPr>
              <w:widowControl/>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198.49</w:t>
            </w:r>
          </w:p>
        </w:tc>
        <w:tc>
          <w:tcPr>
            <w:tcW w:w="1316"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九、卫生健康支出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267"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61.98</w:t>
            </w:r>
          </w:p>
        </w:tc>
        <w:tc>
          <w:tcPr>
            <w:tcW w:w="1149" w:type="dxa"/>
            <w:tcBorders>
              <w:top w:val="nil"/>
              <w:left w:val="nil"/>
              <w:bottom w:val="single" w:color="auto" w:sz="4" w:space="0"/>
              <w:right w:val="single" w:color="auto" w:sz="4" w:space="0"/>
            </w:tcBorders>
            <w:vAlign w:val="top"/>
          </w:tcPr>
          <w:p>
            <w:pPr>
              <w:widowControl/>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61.98</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十九、住房保障支出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26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101.99</w:t>
            </w: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131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267"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267"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ind w:firstLine="1540" w:firstLineChars="700"/>
              <w:jc w:val="left"/>
              <w:rPr>
                <w:rFonts w:ascii="宋体" w:hAnsi="宋体" w:cs="Arial"/>
                <w:color w:val="000000"/>
                <w:kern w:val="0"/>
                <w:sz w:val="22"/>
                <w:szCs w:val="22"/>
              </w:rPr>
            </w:pPr>
            <w:r>
              <w:rPr>
                <w:rFonts w:hint="eastAsia" w:ascii="宋体" w:hAnsi="宋体" w:cs="Arial"/>
                <w:kern w:val="0"/>
                <w:sz w:val="22"/>
                <w:szCs w:val="22"/>
              </w:rPr>
              <w:t>本年收入合计</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170"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2266.77</w:t>
            </w: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本年支出合计</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3732" w:type="dxa"/>
            <w:gridSpan w:val="3"/>
            <w:tcBorders>
              <w:top w:val="single" w:color="auto" w:sz="4" w:space="0"/>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2103.72</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年初财政拨款结转和结余</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170"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149.7</w:t>
            </w: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年末</w:t>
            </w:r>
            <w:r>
              <w:rPr>
                <w:rFonts w:hint="eastAsia" w:ascii="宋体" w:hAnsi="宋体" w:cs="Arial"/>
                <w:kern w:val="0"/>
                <w:sz w:val="22"/>
                <w:szCs w:val="22"/>
                <w:lang w:eastAsia="zh-CN"/>
              </w:rPr>
              <w:t>财政拨款</w:t>
            </w:r>
            <w:r>
              <w:rPr>
                <w:rFonts w:hint="eastAsia" w:ascii="宋体" w:hAnsi="宋体" w:cs="Arial"/>
                <w:kern w:val="0"/>
                <w:sz w:val="22"/>
                <w:szCs w:val="22"/>
              </w:rPr>
              <w:t>结转和结余</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3732" w:type="dxa"/>
            <w:gridSpan w:val="3"/>
            <w:tcBorders>
              <w:top w:val="single" w:color="auto" w:sz="4" w:space="0"/>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312.76</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ind w:firstLine="1540" w:firstLineChars="700"/>
              <w:jc w:val="left"/>
              <w:rPr>
                <w:rFonts w:ascii="宋体" w:hAnsi="宋体" w:cs="Arial"/>
                <w:kern w:val="0"/>
                <w:sz w:val="22"/>
                <w:szCs w:val="22"/>
              </w:rPr>
            </w:pPr>
            <w:r>
              <w:rPr>
                <w:rFonts w:hint="eastAsia" w:ascii="宋体" w:hAnsi="宋体" w:cs="Arial"/>
                <w:kern w:val="0"/>
                <w:sz w:val="22"/>
                <w:szCs w:val="22"/>
              </w:rPr>
              <w:t>一般公共预算财政拨款</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170"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149.7</w:t>
            </w: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ind w:firstLine="1540" w:firstLineChars="700"/>
              <w:jc w:val="left"/>
              <w:rPr>
                <w:rFonts w:ascii="宋体" w:hAnsi="宋体" w:cs="Arial"/>
                <w:color w:val="000000"/>
                <w:kern w:val="0"/>
                <w:sz w:val="22"/>
                <w:szCs w:val="22"/>
              </w:rPr>
            </w:pPr>
            <w:r>
              <w:rPr>
                <w:rFonts w:hint="eastAsia" w:ascii="宋体" w:hAnsi="宋体" w:cs="Arial"/>
                <w:kern w:val="0"/>
                <w:sz w:val="22"/>
                <w:szCs w:val="22"/>
              </w:rPr>
              <w:t>政府性基金预算财政拨款</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170"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17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4390"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67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170"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2416.47</w:t>
            </w:r>
            <w:r>
              <w:rPr>
                <w:rFonts w:hint="eastAsia" w:ascii="宋体" w:hAnsi="宋体" w:cs="Arial"/>
                <w:color w:val="000000"/>
                <w:kern w:val="0"/>
                <w:sz w:val="22"/>
                <w:szCs w:val="22"/>
              </w:rPr>
              <w:t>　</w:t>
            </w:r>
          </w:p>
        </w:tc>
        <w:tc>
          <w:tcPr>
            <w:tcW w:w="311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732" w:type="dxa"/>
            <w:gridSpan w:val="3"/>
            <w:tcBorders>
              <w:top w:val="single" w:color="auto" w:sz="4" w:space="0"/>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2416.47</w:t>
            </w:r>
            <w:r>
              <w:rPr>
                <w:rFonts w:hint="eastAsia" w:ascii="宋体" w:hAnsi="宋体" w:cs="Arial"/>
                <w:color w:val="000000"/>
                <w:kern w:val="0"/>
                <w:sz w:val="22"/>
                <w:szCs w:val="22"/>
              </w:rPr>
              <w:t>　</w:t>
            </w:r>
          </w:p>
        </w:tc>
      </w:tr>
    </w:tbl>
    <w:p>
      <w:pPr>
        <w:jc w:val="right"/>
        <w:rPr>
          <w:rFonts w:hint="eastAsia"/>
          <w:sz w:val="22"/>
          <w:szCs w:val="22"/>
        </w:rPr>
      </w:pPr>
      <w:r>
        <w:rPr>
          <w:rFonts w:hint="eastAsia"/>
          <w:sz w:val="22"/>
          <w:szCs w:val="22"/>
        </w:rPr>
        <w:t>单位：万元</w:t>
      </w:r>
    </w:p>
    <w:p>
      <w:pPr>
        <w:rPr>
          <w:rFonts w:hint="eastAsia" w:eastAsia="宋体"/>
          <w:lang w:eastAsia="zh-CN"/>
        </w:rPr>
      </w:pPr>
      <w:r>
        <w:rPr>
          <w:rFonts w:hint="eastAsia"/>
          <w:lang w:eastAsia="zh-CN"/>
        </w:rPr>
        <w:t>注：本表反映部门本年度一般公共预算财政拨款和政府性基金预算财政拨款的总收支和年末结转结余情况。</w:t>
      </w:r>
    </w:p>
    <w:p>
      <w:pPr>
        <w:rPr>
          <w:rFonts w:hint="eastAsia"/>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jc w:val="right"/>
        <w:rPr>
          <w:rFonts w:hint="eastAsia" w:ascii="宋体" w:hAnsi="宋体" w:cs="宋体"/>
          <w:kern w:val="0"/>
          <w:sz w:val="22"/>
          <w:szCs w:val="22"/>
        </w:rPr>
      </w:pPr>
      <w:r>
        <w:rPr>
          <w:rFonts w:hint="eastAsia" w:ascii="宋体" w:hAnsi="宋体" w:cs="宋体"/>
          <w:kern w:val="0"/>
          <w:sz w:val="22"/>
          <w:szCs w:val="22"/>
        </w:rPr>
        <w:t>单位：</w:t>
      </w:r>
      <w:r>
        <w:rPr>
          <w:rFonts w:ascii="宋体" w:hAnsi="宋体" w:cs="宋体"/>
          <w:kern w:val="0"/>
          <w:sz w:val="22"/>
          <w:szCs w:val="22"/>
        </w:rPr>
        <w:t>万元</w:t>
      </w:r>
    </w:p>
    <w:tbl>
      <w:tblPr>
        <w:tblStyle w:val="4"/>
        <w:tblW w:w="13479" w:type="dxa"/>
        <w:jc w:val="center"/>
        <w:tblLayout w:type="fixed"/>
        <w:tblCellMar>
          <w:top w:w="0" w:type="dxa"/>
          <w:left w:w="108" w:type="dxa"/>
          <w:bottom w:w="0" w:type="dxa"/>
          <w:right w:w="108" w:type="dxa"/>
        </w:tblCellMar>
      </w:tblPr>
      <w:tblGrid>
        <w:gridCol w:w="1283"/>
        <w:gridCol w:w="3000"/>
        <w:gridCol w:w="2900"/>
        <w:gridCol w:w="2900"/>
        <w:gridCol w:w="3396"/>
      </w:tblGrid>
      <w:tr>
        <w:tblPrEx>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宋体" w:cs="Arial"/>
                <w:kern w:val="0"/>
                <w:sz w:val="22"/>
                <w:szCs w:val="22"/>
                <w:lang w:eastAsia="zh-CN"/>
              </w:rPr>
              <w:t>支出功能</w:t>
            </w:r>
            <w:r>
              <w:rPr>
                <w:rFonts w:hint="eastAsia" w:ascii="MingLiU" w:hAnsi="MingLiU" w:eastAsia="MingLiU" w:cs="Arial"/>
                <w:kern w:val="0"/>
                <w:sz w:val="22"/>
                <w:szCs w:val="22"/>
              </w:rPr>
              <w:t>项 目</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基本支出</w:t>
            </w:r>
          </w:p>
        </w:tc>
        <w:tc>
          <w:tcPr>
            <w:tcW w:w="33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项目支出</w:t>
            </w:r>
          </w:p>
        </w:tc>
      </w:tr>
      <w:tr>
        <w:tblPrEx>
          <w:tblCellMar>
            <w:top w:w="0" w:type="dxa"/>
            <w:left w:w="108" w:type="dxa"/>
            <w:bottom w:w="0" w:type="dxa"/>
            <w:right w:w="108" w:type="dxa"/>
          </w:tblCellMar>
        </w:tblPrEx>
        <w:trPr>
          <w:trHeight w:val="300"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both"/>
              <w:rPr>
                <w:rFonts w:ascii="MingLiU" w:hAnsi="MingLiU" w:eastAsia="MingLiU" w:cs="Arial"/>
                <w:kern w:val="0"/>
                <w:sz w:val="22"/>
                <w:szCs w:val="22"/>
              </w:rPr>
            </w:pPr>
            <w:r>
              <w:rPr>
                <w:rFonts w:hint="eastAsia" w:ascii="MingLiU" w:hAnsi="MingLiU" w:cs="Arial"/>
                <w:kern w:val="0"/>
                <w:sz w:val="22"/>
                <w:szCs w:val="22"/>
                <w:lang w:eastAsia="zh-CN"/>
              </w:rPr>
              <w:t>支出功能分类</w:t>
            </w:r>
            <w:r>
              <w:rPr>
                <w:rFonts w:hint="eastAsia" w:ascii="MingLiU" w:hAnsi="MingLiU" w:eastAsia="MingLiU" w:cs="Arial"/>
                <w:kern w:val="0"/>
                <w:sz w:val="22"/>
                <w:szCs w:val="22"/>
              </w:rPr>
              <w:t>科目编码</w:t>
            </w:r>
          </w:p>
        </w:tc>
        <w:tc>
          <w:tcPr>
            <w:tcW w:w="300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科目名称</w:t>
            </w: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3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64"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MingLiU" w:hAnsi="MingLiU" w:eastAsia="MingLiU" w:cs="Arial"/>
                <w:b/>
                <w:bCs/>
                <w:kern w:val="0"/>
                <w:sz w:val="18"/>
                <w:szCs w:val="18"/>
              </w:rPr>
              <w:t>栏次</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396"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90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Arial" w:hAnsi="Arial" w:cs="Arial"/>
                <w:color w:val="000000"/>
                <w:kern w:val="0"/>
                <w:sz w:val="20"/>
                <w:szCs w:val="20"/>
                <w:lang w:val="en-US" w:eastAsia="zh-CN"/>
              </w:rPr>
              <w:t>2103.72</w:t>
            </w:r>
            <w:r>
              <w:rPr>
                <w:rFonts w:ascii="Arial" w:hAnsi="Arial" w:cs="Arial"/>
                <w:color w:val="000000"/>
                <w:kern w:val="0"/>
                <w:sz w:val="20"/>
                <w:szCs w:val="20"/>
              </w:rPr>
              <w:t>　</w:t>
            </w:r>
          </w:p>
        </w:tc>
        <w:tc>
          <w:tcPr>
            <w:tcW w:w="290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Arial" w:hAnsi="Arial" w:cs="Arial"/>
                <w:color w:val="000000"/>
                <w:kern w:val="0"/>
                <w:sz w:val="20"/>
                <w:szCs w:val="20"/>
                <w:lang w:val="en-US" w:eastAsia="zh-CN"/>
              </w:rPr>
              <w:t>1585.86</w:t>
            </w:r>
            <w:r>
              <w:rPr>
                <w:rFonts w:ascii="Arial" w:hAnsi="Arial" w:cs="Arial"/>
                <w:color w:val="000000"/>
                <w:kern w:val="0"/>
                <w:sz w:val="20"/>
                <w:szCs w:val="20"/>
              </w:rPr>
              <w:t>　</w:t>
            </w:r>
          </w:p>
        </w:tc>
        <w:tc>
          <w:tcPr>
            <w:tcW w:w="3396"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Arial" w:hAnsi="Arial" w:cs="Arial"/>
                <w:color w:val="000000"/>
                <w:kern w:val="0"/>
                <w:sz w:val="20"/>
                <w:szCs w:val="20"/>
                <w:lang w:val="en-US" w:eastAsia="zh-CN"/>
              </w:rPr>
              <w:t>517.86</w:t>
            </w:r>
            <w:r>
              <w:rPr>
                <w:rFonts w:ascii="Arial" w:hAnsi="Arial" w:cs="Arial"/>
                <w:color w:val="000000"/>
                <w:kern w:val="0"/>
                <w:sz w:val="20"/>
                <w:szCs w:val="20"/>
              </w:rPr>
              <w:t>　</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201</w:t>
            </w:r>
          </w:p>
        </w:tc>
        <w:tc>
          <w:tcPr>
            <w:tcW w:w="30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一般公共服务支出</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1741.25</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1223.39</w:t>
            </w:r>
          </w:p>
        </w:tc>
        <w:tc>
          <w:tcPr>
            <w:tcW w:w="3396"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517.86</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38</w:t>
            </w:r>
          </w:p>
        </w:tc>
        <w:tc>
          <w:tcPr>
            <w:tcW w:w="30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市场监督管理事务</w:t>
            </w:r>
          </w:p>
        </w:tc>
        <w:tc>
          <w:tcPr>
            <w:tcW w:w="29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1741.25</w:t>
            </w:r>
          </w:p>
        </w:tc>
        <w:tc>
          <w:tcPr>
            <w:tcW w:w="29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1223.39</w:t>
            </w:r>
          </w:p>
        </w:tc>
        <w:tc>
          <w:tcPr>
            <w:tcW w:w="3396"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517.86</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2013804</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市场监督管理专项</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18.17</w:t>
            </w:r>
          </w:p>
        </w:tc>
        <w:tc>
          <w:tcPr>
            <w:tcW w:w="2900" w:type="dxa"/>
            <w:tcBorders>
              <w:top w:val="nil"/>
              <w:left w:val="nil"/>
              <w:bottom w:val="single" w:color="auto" w:sz="4" w:space="0"/>
              <w:right w:val="single" w:color="auto" w:sz="4" w:space="0"/>
            </w:tcBorders>
            <w:vAlign w:val="top"/>
          </w:tcPr>
          <w:p>
            <w:pPr>
              <w:widowControl/>
              <w:ind w:firstLine="1100" w:firstLineChars="500"/>
              <w:jc w:val="left"/>
              <w:rPr>
                <w:rFonts w:hint="eastAsia" w:ascii="宋体" w:hAnsi="宋体" w:eastAsia="宋体" w:cs="Arial"/>
                <w:color w:val="000000"/>
                <w:kern w:val="0"/>
                <w:sz w:val="22"/>
                <w:szCs w:val="22"/>
                <w:lang w:val="en-US" w:eastAsia="zh-CN" w:bidi="ar-SA"/>
              </w:rPr>
            </w:pPr>
          </w:p>
        </w:tc>
        <w:tc>
          <w:tcPr>
            <w:tcW w:w="3396"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18.17</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2013809</w:t>
            </w:r>
          </w:p>
        </w:tc>
        <w:tc>
          <w:tcPr>
            <w:tcW w:w="30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市场监督管理技术支持</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bidi="ar-SA"/>
              </w:rPr>
              <w:t>314.71</w:t>
            </w:r>
          </w:p>
        </w:tc>
        <w:tc>
          <w:tcPr>
            <w:tcW w:w="2900" w:type="dxa"/>
            <w:tcBorders>
              <w:top w:val="nil"/>
              <w:left w:val="nil"/>
              <w:bottom w:val="single" w:color="auto" w:sz="4" w:space="0"/>
              <w:right w:val="single" w:color="auto" w:sz="4" w:space="0"/>
            </w:tcBorders>
            <w:vAlign w:val="top"/>
          </w:tcPr>
          <w:p>
            <w:pPr>
              <w:widowControl/>
              <w:ind w:firstLine="1100" w:firstLineChars="500"/>
              <w:jc w:val="left"/>
              <w:rPr>
                <w:rFonts w:hint="eastAsia" w:ascii="宋体" w:hAnsi="宋体" w:eastAsia="宋体" w:cs="Arial"/>
                <w:color w:val="000000"/>
                <w:kern w:val="0"/>
                <w:sz w:val="22"/>
                <w:szCs w:val="22"/>
                <w:lang w:val="en-US" w:eastAsia="zh-CN" w:bidi="ar-SA"/>
              </w:rPr>
            </w:pPr>
          </w:p>
        </w:tc>
        <w:tc>
          <w:tcPr>
            <w:tcW w:w="3396"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314.71</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2013811</w:t>
            </w:r>
          </w:p>
        </w:tc>
        <w:tc>
          <w:tcPr>
            <w:tcW w:w="30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标准化管理</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13.2</w:t>
            </w:r>
          </w:p>
        </w:tc>
        <w:tc>
          <w:tcPr>
            <w:tcW w:w="2900" w:type="dxa"/>
            <w:tcBorders>
              <w:top w:val="nil"/>
              <w:left w:val="nil"/>
              <w:bottom w:val="single" w:color="auto" w:sz="4" w:space="0"/>
              <w:right w:val="single" w:color="auto" w:sz="4" w:space="0"/>
            </w:tcBorders>
            <w:vAlign w:val="top"/>
          </w:tcPr>
          <w:p>
            <w:pPr>
              <w:widowControl/>
              <w:ind w:firstLine="1100" w:firstLineChars="500"/>
              <w:jc w:val="left"/>
              <w:rPr>
                <w:rFonts w:hint="eastAsia" w:ascii="宋体" w:hAnsi="宋体" w:eastAsia="宋体" w:cs="Arial"/>
                <w:color w:val="000000"/>
                <w:kern w:val="0"/>
                <w:sz w:val="22"/>
                <w:szCs w:val="22"/>
                <w:lang w:val="en-US" w:eastAsia="zh-CN" w:bidi="ar-SA"/>
              </w:rPr>
            </w:pPr>
          </w:p>
        </w:tc>
        <w:tc>
          <w:tcPr>
            <w:tcW w:w="3396"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13.2</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2013850</w:t>
            </w:r>
          </w:p>
        </w:tc>
        <w:tc>
          <w:tcPr>
            <w:tcW w:w="30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事业运行</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1223.39</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1223.39</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2013899</w:t>
            </w:r>
          </w:p>
        </w:tc>
        <w:tc>
          <w:tcPr>
            <w:tcW w:w="30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其他市场监督管理事务</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171.77</w:t>
            </w:r>
          </w:p>
        </w:tc>
        <w:tc>
          <w:tcPr>
            <w:tcW w:w="2900" w:type="dxa"/>
            <w:tcBorders>
              <w:top w:val="nil"/>
              <w:left w:val="nil"/>
              <w:bottom w:val="single" w:color="auto" w:sz="4" w:space="0"/>
              <w:right w:val="single" w:color="auto" w:sz="4" w:space="0"/>
            </w:tcBorders>
            <w:vAlign w:val="top"/>
          </w:tcPr>
          <w:p>
            <w:pPr>
              <w:widowControl/>
              <w:ind w:firstLine="1100" w:firstLineChars="500"/>
              <w:jc w:val="left"/>
              <w:rPr>
                <w:rFonts w:hint="eastAsia" w:ascii="宋体" w:hAnsi="宋体" w:eastAsia="宋体" w:cs="Arial"/>
                <w:color w:val="000000"/>
                <w:kern w:val="0"/>
                <w:sz w:val="22"/>
                <w:szCs w:val="22"/>
                <w:lang w:val="en-US" w:eastAsia="zh-CN" w:bidi="ar-SA"/>
              </w:rPr>
            </w:pPr>
          </w:p>
        </w:tc>
        <w:tc>
          <w:tcPr>
            <w:tcW w:w="3396"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171.77</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208</w:t>
            </w:r>
          </w:p>
        </w:tc>
        <w:tc>
          <w:tcPr>
            <w:tcW w:w="30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社会保障和就业支出</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198.49</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198.49</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20805</w:t>
            </w:r>
          </w:p>
        </w:tc>
        <w:tc>
          <w:tcPr>
            <w:tcW w:w="30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行政事业单位离退休</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187.72</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187.72</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2080502</w:t>
            </w:r>
          </w:p>
        </w:tc>
        <w:tc>
          <w:tcPr>
            <w:tcW w:w="30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事业单位离退休</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42.62</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42.62</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2080505</w:t>
            </w:r>
          </w:p>
        </w:tc>
        <w:tc>
          <w:tcPr>
            <w:tcW w:w="300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机关事业单位基本养老保险缴费支出</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145.1</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145.1</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20808</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抚恤</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10.77</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10.77</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2080801</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死亡抚恤</w:t>
            </w:r>
          </w:p>
        </w:tc>
        <w:tc>
          <w:tcPr>
            <w:tcW w:w="29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10.77</w:t>
            </w:r>
          </w:p>
        </w:tc>
        <w:tc>
          <w:tcPr>
            <w:tcW w:w="29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10.77</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210</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医疗卫生与计划生育支出</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21011</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行政事业单位医疗</w:t>
            </w:r>
          </w:p>
        </w:tc>
        <w:tc>
          <w:tcPr>
            <w:tcW w:w="29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29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2101102</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事业单位医疗</w:t>
            </w:r>
          </w:p>
        </w:tc>
        <w:tc>
          <w:tcPr>
            <w:tcW w:w="29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2900"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61.98</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221</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住房保障支出</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101.99</w:t>
            </w:r>
          </w:p>
        </w:tc>
        <w:tc>
          <w:tcPr>
            <w:tcW w:w="2900" w:type="dxa"/>
            <w:tcBorders>
              <w:top w:val="nil"/>
              <w:left w:val="nil"/>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101.99</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hint="eastAsia" w:ascii="宋体" w:hAnsi="宋体" w:eastAsia="宋体" w:cs="Arial"/>
                <w:color w:val="000000"/>
                <w:kern w:val="0"/>
                <w:sz w:val="22"/>
                <w:szCs w:val="22"/>
                <w:lang w:val="en-US" w:eastAsia="zh-CN" w:bidi="ar-SA"/>
              </w:rPr>
            </w:pP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22102</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住房改革支出</w:t>
            </w:r>
          </w:p>
        </w:tc>
        <w:tc>
          <w:tcPr>
            <w:tcW w:w="2900" w:type="dxa"/>
            <w:tcBorders>
              <w:top w:val="nil"/>
              <w:left w:val="nil"/>
              <w:bottom w:val="single" w:color="auto" w:sz="4" w:space="0"/>
              <w:right w:val="single" w:color="auto" w:sz="4" w:space="0"/>
            </w:tcBorders>
            <w:vAlign w:val="top"/>
          </w:tcPr>
          <w:p>
            <w:pPr>
              <w:widowControl/>
              <w:jc w:val="lef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101.99</w:t>
            </w:r>
          </w:p>
        </w:tc>
        <w:tc>
          <w:tcPr>
            <w:tcW w:w="2900" w:type="dxa"/>
            <w:tcBorders>
              <w:top w:val="nil"/>
              <w:left w:val="nil"/>
              <w:bottom w:val="single" w:color="auto" w:sz="4" w:space="0"/>
              <w:right w:val="single" w:color="auto" w:sz="4" w:space="0"/>
            </w:tcBorders>
            <w:vAlign w:val="top"/>
          </w:tcPr>
          <w:p>
            <w:pPr>
              <w:widowControl/>
              <w:jc w:val="lef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101.99</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2210201</w:t>
            </w:r>
          </w:p>
        </w:tc>
        <w:tc>
          <w:tcPr>
            <w:tcW w:w="3000" w:type="dxa"/>
            <w:tcBorders>
              <w:top w:val="nil"/>
              <w:left w:val="nil"/>
              <w:bottom w:val="single" w:color="auto" w:sz="4" w:space="0"/>
              <w:right w:val="single" w:color="auto" w:sz="4" w:space="0"/>
            </w:tcBorders>
            <w:vAlign w:val="top"/>
          </w:tcPr>
          <w:p>
            <w:pPr>
              <w:widowControl/>
              <w:ind w:firstLine="0" w:firstLineChars="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住房公积金</w:t>
            </w:r>
          </w:p>
        </w:tc>
        <w:tc>
          <w:tcPr>
            <w:tcW w:w="2900" w:type="dxa"/>
            <w:tcBorders>
              <w:top w:val="nil"/>
              <w:left w:val="nil"/>
              <w:bottom w:val="single" w:color="auto" w:sz="4" w:space="0"/>
              <w:right w:val="single" w:color="auto" w:sz="4" w:space="0"/>
            </w:tcBorders>
            <w:vAlign w:val="top"/>
          </w:tcPr>
          <w:p>
            <w:pPr>
              <w:widowControl/>
              <w:jc w:val="lef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101.99</w:t>
            </w:r>
          </w:p>
        </w:tc>
        <w:tc>
          <w:tcPr>
            <w:tcW w:w="2900" w:type="dxa"/>
            <w:tcBorders>
              <w:top w:val="nil"/>
              <w:left w:val="nil"/>
              <w:bottom w:val="single" w:color="auto" w:sz="4" w:space="0"/>
              <w:right w:val="single" w:color="auto" w:sz="4" w:space="0"/>
            </w:tcBorders>
            <w:vAlign w:val="top"/>
          </w:tcPr>
          <w:p>
            <w:pPr>
              <w:widowControl/>
              <w:jc w:val="lef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101.99</w:t>
            </w:r>
          </w:p>
        </w:tc>
        <w:tc>
          <w:tcPr>
            <w:tcW w:w="3396" w:type="dxa"/>
            <w:tcBorders>
              <w:top w:val="nil"/>
              <w:left w:val="nil"/>
              <w:bottom w:val="single" w:color="auto" w:sz="4" w:space="0"/>
              <w:right w:val="single" w:color="auto" w:sz="4" w:space="0"/>
            </w:tcBorders>
            <w:vAlign w:val="top"/>
          </w:tcPr>
          <w:p>
            <w:pPr>
              <w:widowControl/>
              <w:ind w:firstLine="1320" w:firstLineChars="600"/>
              <w:jc w:val="lef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r>
    </w:tbl>
    <w:p>
      <w:pPr>
        <w:rPr>
          <w:rFonts w:hint="eastAsia"/>
        </w:rPr>
      </w:pPr>
    </w:p>
    <w:p>
      <w:pPr>
        <w:rPr>
          <w:rFonts w:hint="eastAsia"/>
        </w:rPr>
      </w:pPr>
      <w:r>
        <w:rPr>
          <w:rFonts w:hint="eastAsia"/>
          <w:lang w:eastAsia="zh-CN"/>
        </w:rPr>
        <w:t>注：本表反映部门本年度一般公共预算财政拨款实际支出情况。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footerReference r:id="rId9" w:type="default"/>
          <w:footerReference r:id="rId10" w:type="even"/>
          <w:pgSz w:w="16838" w:h="11906" w:orient="landscape"/>
          <w:pgMar w:top="1377" w:right="1440" w:bottom="1797" w:left="1440" w:header="851" w:footer="992" w:gutter="0"/>
          <w:pgNumType w:fmt="numberInDash"/>
          <w:cols w:space="720" w:num="1"/>
          <w:docGrid w:type="lines" w:linePitch="312" w:charSpace="0"/>
        </w:sectPr>
      </w:pPr>
    </w:p>
    <w:p>
      <w:pPr>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hint="eastAsia" w:ascii="方正小标宋简体" w:hAnsi="宋体" w:eastAsia="方正小标宋简体" w:cs="宋体"/>
          <w:kern w:val="0"/>
          <w:sz w:val="36"/>
          <w:szCs w:val="36"/>
        </w:rPr>
      </w:pPr>
    </w:p>
    <w:p>
      <w:pPr>
        <w:ind w:right="330"/>
        <w:jc w:val="right"/>
        <w:rPr>
          <w:rFonts w:ascii="宋体" w:hAnsi="宋体" w:cs="宋体"/>
          <w:kern w:val="0"/>
          <w:sz w:val="22"/>
          <w:szCs w:val="22"/>
        </w:rPr>
      </w:pPr>
      <w:r>
        <w:rPr>
          <w:rFonts w:hint="eastAsia" w:ascii="宋体" w:hAnsi="宋体" w:cs="宋体"/>
          <w:kern w:val="0"/>
          <w:sz w:val="22"/>
          <w:szCs w:val="22"/>
        </w:rPr>
        <w:t>单位：万元</w:t>
      </w:r>
    </w:p>
    <w:tbl>
      <w:tblPr>
        <w:tblStyle w:val="4"/>
        <w:tblW w:w="9151" w:type="dxa"/>
        <w:tblInd w:w="93" w:type="dxa"/>
        <w:tblLayout w:type="fixed"/>
        <w:tblCellMar>
          <w:top w:w="0" w:type="dxa"/>
          <w:left w:w="108" w:type="dxa"/>
          <w:bottom w:w="0" w:type="dxa"/>
          <w:right w:w="108" w:type="dxa"/>
        </w:tblCellMar>
      </w:tblPr>
      <w:tblGrid>
        <w:gridCol w:w="916"/>
        <w:gridCol w:w="2820"/>
        <w:gridCol w:w="1251"/>
        <w:gridCol w:w="849"/>
        <w:gridCol w:w="1710"/>
        <w:gridCol w:w="1605"/>
      </w:tblGrid>
      <w:tr>
        <w:tblPrEx>
          <w:tblCellMar>
            <w:top w:w="0" w:type="dxa"/>
            <w:left w:w="108" w:type="dxa"/>
            <w:bottom w:w="0" w:type="dxa"/>
            <w:right w:w="108" w:type="dxa"/>
          </w:tblCellMar>
        </w:tblPrEx>
        <w:trPr>
          <w:trHeight w:val="564" w:hRule="atLeast"/>
        </w:trPr>
        <w:tc>
          <w:tcPr>
            <w:tcW w:w="49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eastAsia="zh-CN"/>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公用经费</w:t>
            </w:r>
          </w:p>
        </w:tc>
      </w:tr>
      <w:tr>
        <w:tblPrEx>
          <w:tblCellMar>
            <w:top w:w="0" w:type="dxa"/>
            <w:left w:w="108" w:type="dxa"/>
            <w:bottom w:w="0" w:type="dxa"/>
            <w:right w:w="108" w:type="dxa"/>
          </w:tblCellMar>
        </w:tblPrEx>
        <w:trPr>
          <w:trHeight w:val="312" w:hRule="atLeast"/>
        </w:trPr>
        <w:tc>
          <w:tcPr>
            <w:tcW w:w="916" w:type="dxa"/>
            <w:tcBorders>
              <w:top w:val="nil"/>
              <w:left w:val="single" w:color="auto" w:sz="4" w:space="0"/>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支出经济分类科目编码</w:t>
            </w:r>
          </w:p>
        </w:tc>
        <w:tc>
          <w:tcPr>
            <w:tcW w:w="2820"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科目名称</w:t>
            </w:r>
          </w:p>
        </w:tc>
        <w:tc>
          <w:tcPr>
            <w:tcW w:w="1251" w:type="dxa"/>
            <w:tcBorders>
              <w:top w:val="nil"/>
              <w:left w:val="nil"/>
              <w:bottom w:val="single" w:color="auto" w:sz="4" w:space="0"/>
              <w:right w:val="single" w:color="auto" w:sz="4" w:space="0"/>
            </w:tcBorders>
            <w:vAlign w:val="bottom"/>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金额</w:t>
            </w:r>
          </w:p>
        </w:tc>
        <w:tc>
          <w:tcPr>
            <w:tcW w:w="849"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经济分类科目编码</w:t>
            </w:r>
          </w:p>
        </w:tc>
        <w:tc>
          <w:tcPr>
            <w:tcW w:w="1710"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科目名称</w:t>
            </w:r>
          </w:p>
        </w:tc>
        <w:tc>
          <w:tcPr>
            <w:tcW w:w="1605"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金额</w:t>
            </w:r>
          </w:p>
        </w:tc>
      </w:tr>
      <w:tr>
        <w:tblPrEx>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301</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1364.67</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商品和服务支出</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173.39</w:t>
            </w:r>
          </w:p>
        </w:tc>
      </w:tr>
      <w:tr>
        <w:tblPrEx>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30101</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基本工资</w:t>
            </w:r>
          </w:p>
        </w:tc>
        <w:tc>
          <w:tcPr>
            <w:tcW w:w="1251" w:type="dxa"/>
            <w:tcBorders>
              <w:top w:val="nil"/>
              <w:left w:val="nil"/>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331.52</w:t>
            </w: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30201</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办公费</w:t>
            </w:r>
            <w:r>
              <w:rPr>
                <w:rFonts w:hint="eastAsia"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11.15</w:t>
            </w:r>
          </w:p>
        </w:tc>
      </w:tr>
      <w:tr>
        <w:tblPrEx>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30102</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津贴补贴</w:t>
            </w:r>
          </w:p>
        </w:tc>
        <w:tc>
          <w:tcPr>
            <w:tcW w:w="1251" w:type="dxa"/>
            <w:tcBorders>
              <w:top w:val="nil"/>
              <w:left w:val="nil"/>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3.79</w:t>
            </w: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30202</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印刷费</w:t>
            </w:r>
            <w:r>
              <w:rPr>
                <w:rFonts w:hint="eastAsia"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2.32</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30103</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 xml:space="preserve">  奖金  </w:t>
            </w:r>
            <w:r>
              <w:rPr>
                <w:rFonts w:ascii="宋体" w:hAnsi="宋体" w:cs="Arial"/>
                <w:color w:val="000000"/>
                <w:kern w:val="0"/>
                <w:sz w:val="22"/>
                <w:szCs w:val="22"/>
              </w:rPr>
              <w:t>　</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2.4</w:t>
            </w: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30205</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水费</w:t>
            </w:r>
            <w:r>
              <w:rPr>
                <w:rFonts w:hint="eastAsia"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val="en-US" w:eastAsia="zh-CN"/>
              </w:rPr>
              <w:t>1</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30104</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其他社会保障缴费</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8.34</w:t>
            </w: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30206</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电费</w:t>
            </w:r>
            <w:r>
              <w:rPr>
                <w:rFonts w:hint="eastAsia"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10.06</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30106</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伙食补助费</w:t>
            </w:r>
          </w:p>
        </w:tc>
        <w:tc>
          <w:tcPr>
            <w:tcW w:w="1251"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30207</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邮电费</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6.02</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30107</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绩效工资</w:t>
            </w:r>
          </w:p>
        </w:tc>
        <w:tc>
          <w:tcPr>
            <w:tcW w:w="1251" w:type="dxa"/>
            <w:tcBorders>
              <w:top w:val="nil"/>
              <w:left w:val="nil"/>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709.54</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30209</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物业管理费</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0.89</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 xml:space="preserve"> 30108</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机关事业单位基本养老保险缴费</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145.1</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30211</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差旅费</w:t>
            </w:r>
          </w:p>
        </w:tc>
        <w:tc>
          <w:tcPr>
            <w:tcW w:w="1605" w:type="dxa"/>
            <w:tcBorders>
              <w:top w:val="nil"/>
              <w:left w:val="nil"/>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25.72</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30109</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职业年金缴费</w:t>
            </w:r>
          </w:p>
        </w:tc>
        <w:tc>
          <w:tcPr>
            <w:tcW w:w="125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30213</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维修（护）费</w:t>
            </w:r>
          </w:p>
        </w:tc>
        <w:tc>
          <w:tcPr>
            <w:tcW w:w="1605" w:type="dxa"/>
            <w:tcBorders>
              <w:top w:val="nil"/>
              <w:left w:val="nil"/>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5.48</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30110</w:t>
            </w:r>
          </w:p>
        </w:tc>
        <w:tc>
          <w:tcPr>
            <w:tcW w:w="282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职工基本医疗保障缴费</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61.98</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30214</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租赁费</w:t>
            </w:r>
          </w:p>
        </w:tc>
        <w:tc>
          <w:tcPr>
            <w:tcW w:w="1605" w:type="dxa"/>
            <w:tcBorders>
              <w:top w:val="nil"/>
              <w:left w:val="nil"/>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30113</w:t>
            </w:r>
          </w:p>
        </w:tc>
        <w:tc>
          <w:tcPr>
            <w:tcW w:w="282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住房公积金</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101.99</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30216</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培训费</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4.98</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30199</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其他工资福利支出</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30217</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接待费</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1.56</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303</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对个人家庭的补助</w:t>
            </w:r>
            <w:r>
              <w:rPr>
                <w:rFonts w:ascii="宋体" w:hAnsi="宋体" w:cs="Arial"/>
                <w:color w:val="000000"/>
                <w:kern w:val="0"/>
                <w:sz w:val="22"/>
                <w:szCs w:val="22"/>
              </w:rPr>
              <w:t>　</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47.8</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30218</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专用材料费</w:t>
            </w:r>
          </w:p>
        </w:tc>
        <w:tc>
          <w:tcPr>
            <w:tcW w:w="1605" w:type="dxa"/>
            <w:tcBorders>
              <w:top w:val="nil"/>
              <w:left w:val="nil"/>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0.38</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ind w:firstLine="0" w:firstLineChars="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30301</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离休费</w:t>
            </w:r>
          </w:p>
        </w:tc>
        <w:tc>
          <w:tcPr>
            <w:tcW w:w="125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30226</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劳务费</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30302</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退休费</w:t>
            </w:r>
            <w:r>
              <w:rPr>
                <w:rFonts w:ascii="宋体" w:hAnsi="宋体" w:cs="Arial"/>
                <w:color w:val="000000"/>
                <w:kern w:val="0"/>
                <w:sz w:val="22"/>
                <w:szCs w:val="22"/>
              </w:rPr>
              <w:t>　</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27.03</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30227</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委托业务费</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30304</w:t>
            </w:r>
          </w:p>
        </w:tc>
        <w:tc>
          <w:tcPr>
            <w:tcW w:w="282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抚恤金</w:t>
            </w:r>
          </w:p>
        </w:tc>
        <w:tc>
          <w:tcPr>
            <w:tcW w:w="1251"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10.77</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30228</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工会经费</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15.69</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xml:space="preserve">  ……</w:t>
            </w:r>
          </w:p>
        </w:tc>
        <w:tc>
          <w:tcPr>
            <w:tcW w:w="282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ascii="宋体" w:hAnsi="宋体" w:cs="Arial"/>
                <w:color w:val="000000"/>
                <w:kern w:val="0"/>
                <w:sz w:val="22"/>
                <w:szCs w:val="22"/>
              </w:rPr>
              <w:t>　</w:t>
            </w:r>
            <w:r>
              <w:rPr>
                <w:rFonts w:hint="eastAsia" w:ascii="宋体" w:hAnsi="宋体" w:cs="Arial"/>
                <w:color w:val="000000"/>
                <w:kern w:val="0"/>
                <w:sz w:val="22"/>
                <w:szCs w:val="22"/>
              </w:rPr>
              <w:t xml:space="preserve"> ……</w:t>
            </w:r>
          </w:p>
        </w:tc>
        <w:tc>
          <w:tcPr>
            <w:tcW w:w="1251"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30229</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福利费</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 xml:space="preserve"> ……</w:t>
            </w:r>
          </w:p>
        </w:tc>
        <w:tc>
          <w:tcPr>
            <w:tcW w:w="125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30231</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公务用车运行维护费</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25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30299</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其他商品和服务支出</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74.13</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 xml:space="preserve"> ……</w:t>
            </w:r>
          </w:p>
        </w:tc>
        <w:tc>
          <w:tcPr>
            <w:tcW w:w="125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310</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其他资本性支出</w:t>
            </w: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p>
        </w:tc>
        <w:tc>
          <w:tcPr>
            <w:tcW w:w="125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399</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其他支出</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p>
        </w:tc>
      </w:tr>
      <w:tr>
        <w:tblPrEx>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人员经费合计</w:t>
            </w:r>
          </w:p>
        </w:tc>
        <w:tc>
          <w:tcPr>
            <w:tcW w:w="282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251"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1412.47</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eastAsia="zh-CN"/>
              </w:rPr>
              <w:t>公用经费合计</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605"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173.39</w:t>
            </w:r>
          </w:p>
        </w:tc>
      </w:tr>
    </w:tbl>
    <w:p>
      <w:pPr>
        <w:sectPr>
          <w:pgSz w:w="11906" w:h="16838"/>
          <w:pgMar w:top="1440" w:right="1797" w:bottom="1440" w:left="1797" w:header="851" w:footer="992" w:gutter="0"/>
          <w:pgNumType w:fmt="numberInDash"/>
          <w:cols w:space="720" w:num="1"/>
          <w:docGrid w:type="lines" w:linePitch="312" w:charSpace="0"/>
        </w:sectPr>
      </w:pPr>
      <w:r>
        <w:rPr>
          <w:rFonts w:hint="eastAsia"/>
          <w:lang w:eastAsia="zh-CN"/>
        </w:rPr>
        <w:t>注：本表反映部门本年度一般公共预算财政拨款基本支出明细情况。</w:t>
      </w: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w:t>
      </w:r>
      <w:r>
        <w:rPr>
          <w:rFonts w:ascii="方正小标宋简体" w:hAnsi="宋体" w:eastAsia="方正小标宋简体" w:cs="宋体"/>
          <w:kern w:val="0"/>
          <w:sz w:val="36"/>
          <w:szCs w:val="36"/>
        </w:rPr>
        <w:t>三公</w:t>
      </w:r>
      <w:r>
        <w:rPr>
          <w:rFonts w:hint="eastAsia" w:ascii="方正小标宋简体" w:hAnsi="宋体" w:eastAsia="方正小标宋简体" w:cs="宋体"/>
          <w:kern w:val="0"/>
          <w:sz w:val="36"/>
          <w:szCs w:val="36"/>
        </w:rPr>
        <w:t>”</w:t>
      </w:r>
      <w:r>
        <w:rPr>
          <w:rFonts w:ascii="方正小标宋简体" w:hAnsi="宋体" w:eastAsia="方正小标宋简体" w:cs="宋体"/>
          <w:kern w:val="0"/>
          <w:sz w:val="36"/>
          <w:szCs w:val="36"/>
        </w:rPr>
        <w:t>经费</w:t>
      </w:r>
      <w:r>
        <w:rPr>
          <w:rFonts w:hint="eastAsia" w:ascii="方正小标宋简体" w:hAnsi="宋体" w:eastAsia="方正小标宋简体" w:cs="宋体"/>
          <w:kern w:val="0"/>
          <w:sz w:val="36"/>
          <w:szCs w:val="36"/>
        </w:rPr>
        <w:t>支出决算表</w:t>
      </w:r>
    </w:p>
    <w:p>
      <w:pPr>
        <w:rPr>
          <w:rFonts w:hint="eastAsia"/>
        </w:rPr>
      </w:pPr>
    </w:p>
    <w:p>
      <w:pPr>
        <w:jc w:val="right"/>
        <w:rPr>
          <w:rFonts w:hint="eastAsia"/>
        </w:rPr>
      </w:pPr>
      <w:r>
        <w:rPr>
          <w:rFonts w:hint="eastAsia"/>
        </w:rPr>
        <w:t>单位：万元</w:t>
      </w:r>
    </w:p>
    <w:tbl>
      <w:tblPr>
        <w:tblStyle w:val="4"/>
        <w:tblW w:w="13921" w:type="dxa"/>
        <w:jc w:val="center"/>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lang w:eastAsia="zh-CN"/>
              </w:rPr>
              <w:t>201</w:t>
            </w:r>
            <w:r>
              <w:rPr>
                <w:rFonts w:hint="eastAsia" w:ascii="宋体" w:hAnsi="宋体" w:cs="Arial"/>
                <w:kern w:val="0"/>
                <w:sz w:val="22"/>
                <w:szCs w:val="22"/>
                <w:lang w:val="en-US" w:eastAsia="zh-CN"/>
              </w:rPr>
              <w:t>9</w:t>
            </w:r>
            <w:r>
              <w:rPr>
                <w:rFonts w:hint="eastAsia" w:ascii="宋体" w:hAnsi="宋体" w:cs="Arial"/>
                <w:kern w:val="0"/>
                <w:sz w:val="22"/>
                <w:szCs w:val="22"/>
              </w:rPr>
              <w:t>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lang w:eastAsia="zh-CN"/>
              </w:rPr>
              <w:t>201</w:t>
            </w:r>
            <w:r>
              <w:rPr>
                <w:rFonts w:hint="eastAsia" w:ascii="宋体" w:hAnsi="宋体" w:cs="Arial"/>
                <w:kern w:val="0"/>
                <w:sz w:val="22"/>
                <w:szCs w:val="22"/>
                <w:lang w:val="en-US" w:eastAsia="zh-CN"/>
              </w:rPr>
              <w:t>9</w:t>
            </w:r>
            <w:r>
              <w:rPr>
                <w:rFonts w:hint="eastAsia" w:ascii="宋体" w:hAnsi="宋体" w:cs="Arial"/>
                <w:kern w:val="0"/>
                <w:sz w:val="22"/>
                <w:szCs w:val="22"/>
              </w:rPr>
              <w:t>年度决算数</w:t>
            </w:r>
          </w:p>
        </w:tc>
      </w:tr>
      <w:tr>
        <w:tblPrEx>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603"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因公出国(境）费</w:t>
            </w:r>
          </w:p>
        </w:tc>
        <w:tc>
          <w:tcPr>
            <w:tcW w:w="331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公务用车购置及运行费</w:t>
            </w:r>
          </w:p>
        </w:tc>
        <w:tc>
          <w:tcPr>
            <w:tcW w:w="1216"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公务接待费</w:t>
            </w:r>
          </w:p>
        </w:tc>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560"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因公出国(境）费</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公务用车购置及运行费</w:t>
            </w:r>
          </w:p>
        </w:tc>
        <w:tc>
          <w:tcPr>
            <w:tcW w:w="1183"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公务接待费</w:t>
            </w:r>
          </w:p>
        </w:tc>
      </w:tr>
      <w:tr>
        <w:tblPrEx>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03"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2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购置费</w:t>
            </w:r>
          </w:p>
        </w:tc>
        <w:tc>
          <w:tcPr>
            <w:tcW w:w="12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运行费</w:t>
            </w:r>
          </w:p>
        </w:tc>
        <w:tc>
          <w:tcPr>
            <w:tcW w:w="1216"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60"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0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购置费</w:t>
            </w:r>
          </w:p>
        </w:tc>
        <w:tc>
          <w:tcPr>
            <w:tcW w:w="120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运行费</w:t>
            </w:r>
          </w:p>
        </w:tc>
        <w:tc>
          <w:tcPr>
            <w:tcW w:w="1183"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3"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2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1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80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6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0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9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0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83"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Arial" w:hAnsi="Arial" w:cs="Arial"/>
                <w:color w:val="000000"/>
                <w:kern w:val="0"/>
                <w:sz w:val="20"/>
                <w:szCs w:val="20"/>
                <w:lang w:val="en-US" w:eastAsia="zh-CN"/>
              </w:rPr>
              <w:t>27.04</w:t>
            </w:r>
            <w:r>
              <w:rPr>
                <w:rFonts w:ascii="Arial" w:hAnsi="Arial" w:cs="Arial"/>
                <w:color w:val="000000"/>
                <w:kern w:val="0"/>
                <w:sz w:val="20"/>
                <w:szCs w:val="20"/>
              </w:rPr>
              <w:t>　</w:t>
            </w:r>
          </w:p>
        </w:tc>
        <w:tc>
          <w:tcPr>
            <w:tcW w:w="1603" w:type="dxa"/>
            <w:tcBorders>
              <w:top w:val="nil"/>
              <w:left w:val="nil"/>
              <w:bottom w:val="single" w:color="auto" w:sz="4" w:space="0"/>
              <w:right w:val="single" w:color="auto" w:sz="4" w:space="0"/>
            </w:tcBorders>
            <w:vAlign w:val="top"/>
          </w:tcPr>
          <w:p>
            <w:pPr>
              <w:widowControl/>
              <w:ind w:firstLine="200" w:firstLineChars="100"/>
              <w:jc w:val="left"/>
              <w:rPr>
                <w:rFonts w:hint="eastAsia"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828" w:type="dxa"/>
            <w:tcBorders>
              <w:top w:val="nil"/>
              <w:left w:val="nil"/>
              <w:bottom w:val="single" w:color="auto" w:sz="4" w:space="0"/>
              <w:right w:val="single" w:color="auto" w:sz="4" w:space="0"/>
            </w:tcBorders>
            <w:vAlign w:val="top"/>
          </w:tcPr>
          <w:p>
            <w:pPr>
              <w:widowControl/>
              <w:jc w:val="left"/>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24.13</w:t>
            </w:r>
          </w:p>
        </w:tc>
        <w:tc>
          <w:tcPr>
            <w:tcW w:w="1242" w:type="dxa"/>
            <w:tcBorders>
              <w:top w:val="nil"/>
              <w:left w:val="nil"/>
              <w:bottom w:val="single" w:color="auto" w:sz="4" w:space="0"/>
              <w:right w:val="single" w:color="auto" w:sz="4" w:space="0"/>
            </w:tcBorders>
            <w:vAlign w:val="top"/>
          </w:tcPr>
          <w:p>
            <w:pPr>
              <w:widowControl/>
              <w:rPr>
                <w:rFonts w:hint="eastAsia"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242" w:type="dxa"/>
            <w:tcBorders>
              <w:top w:val="nil"/>
              <w:left w:val="nil"/>
              <w:bottom w:val="single" w:color="auto" w:sz="4" w:space="0"/>
              <w:right w:val="single" w:color="auto" w:sz="4" w:space="0"/>
            </w:tcBorders>
            <w:vAlign w:val="top"/>
          </w:tcPr>
          <w:p>
            <w:pPr>
              <w:widowControl/>
              <w:rPr>
                <w:rFonts w:hint="default"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24.13</w:t>
            </w:r>
          </w:p>
        </w:tc>
        <w:tc>
          <w:tcPr>
            <w:tcW w:w="1216" w:type="dxa"/>
            <w:tcBorders>
              <w:top w:val="nil"/>
              <w:left w:val="nil"/>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2.91</w:t>
            </w:r>
          </w:p>
        </w:tc>
        <w:tc>
          <w:tcPr>
            <w:tcW w:w="806" w:type="dxa"/>
            <w:tcBorders>
              <w:top w:val="nil"/>
              <w:left w:val="nil"/>
              <w:bottom w:val="single" w:color="auto" w:sz="4" w:space="0"/>
              <w:right w:val="single" w:color="auto" w:sz="4" w:space="0"/>
            </w:tcBorders>
            <w:vAlign w:val="top"/>
          </w:tcPr>
          <w:p>
            <w:pPr>
              <w:widowControl/>
              <w:jc w:val="left"/>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25.28</w:t>
            </w:r>
          </w:p>
        </w:tc>
        <w:tc>
          <w:tcPr>
            <w:tcW w:w="1560" w:type="dxa"/>
            <w:tcBorders>
              <w:top w:val="nil"/>
              <w:left w:val="nil"/>
              <w:bottom w:val="single" w:color="auto" w:sz="4" w:space="0"/>
              <w:right w:val="single" w:color="auto" w:sz="4" w:space="0"/>
            </w:tcBorders>
            <w:vAlign w:val="top"/>
          </w:tcPr>
          <w:p>
            <w:pPr>
              <w:widowControl/>
              <w:ind w:firstLine="200" w:firstLineChars="100"/>
              <w:jc w:val="left"/>
              <w:rPr>
                <w:rFonts w:hint="eastAsia"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806" w:type="dxa"/>
            <w:tcBorders>
              <w:top w:val="nil"/>
              <w:left w:val="nil"/>
              <w:bottom w:val="single" w:color="auto" w:sz="4" w:space="0"/>
              <w:right w:val="single" w:color="auto" w:sz="4" w:space="0"/>
            </w:tcBorders>
            <w:vAlign w:val="top"/>
          </w:tcPr>
          <w:p>
            <w:pPr>
              <w:widowControl/>
              <w:jc w:val="left"/>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23.72</w:t>
            </w:r>
          </w:p>
        </w:tc>
        <w:tc>
          <w:tcPr>
            <w:tcW w:w="1398" w:type="dxa"/>
            <w:tcBorders>
              <w:top w:val="nil"/>
              <w:left w:val="nil"/>
              <w:bottom w:val="single" w:color="auto" w:sz="4" w:space="0"/>
              <w:right w:val="single" w:color="auto" w:sz="4" w:space="0"/>
            </w:tcBorders>
            <w:vAlign w:val="top"/>
          </w:tcPr>
          <w:p>
            <w:pPr>
              <w:widowControl/>
              <w:ind w:firstLine="400" w:firstLineChars="200"/>
              <w:jc w:val="left"/>
              <w:rPr>
                <w:rFonts w:ascii="Arial" w:hAnsi="Arial" w:cs="Arial"/>
                <w:color w:val="000000"/>
                <w:kern w:val="0"/>
                <w:sz w:val="20"/>
                <w:szCs w:val="20"/>
              </w:rPr>
            </w:pPr>
            <w:r>
              <w:rPr>
                <w:rFonts w:hint="eastAsia" w:ascii="Arial" w:hAnsi="Arial" w:cs="Arial"/>
                <w:color w:val="000000"/>
                <w:kern w:val="0"/>
                <w:sz w:val="20"/>
                <w:szCs w:val="20"/>
                <w:lang w:val="en-US" w:eastAsia="zh-CN"/>
              </w:rPr>
              <w:t>0</w:t>
            </w:r>
            <w:r>
              <w:rPr>
                <w:rFonts w:ascii="Arial" w:hAnsi="Arial" w:cs="Arial"/>
                <w:color w:val="000000"/>
                <w:kern w:val="0"/>
                <w:sz w:val="20"/>
                <w:szCs w:val="20"/>
              </w:rPr>
              <w:t>　</w:t>
            </w:r>
          </w:p>
        </w:tc>
        <w:tc>
          <w:tcPr>
            <w:tcW w:w="1208"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23.72</w:t>
            </w:r>
            <w:r>
              <w:rPr>
                <w:rFonts w:ascii="Arial" w:hAnsi="Arial" w:cs="Arial"/>
                <w:color w:val="000000"/>
                <w:kern w:val="0"/>
                <w:sz w:val="20"/>
                <w:szCs w:val="20"/>
              </w:rPr>
              <w:t>　</w:t>
            </w:r>
          </w:p>
        </w:tc>
        <w:tc>
          <w:tcPr>
            <w:tcW w:w="1183" w:type="dxa"/>
            <w:tcBorders>
              <w:top w:val="nil"/>
              <w:left w:val="nil"/>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1.56</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lang w:eastAsia="zh-CN"/>
        </w:rPr>
        <w:t>注：本表反映部门本年度“三公”经费支出预决算情况。其中，</w:t>
      </w:r>
      <w:r>
        <w:rPr>
          <w:rFonts w:hint="eastAsia"/>
          <w:lang w:val="en-US" w:eastAsia="zh-CN"/>
        </w:rPr>
        <w:t>2019年度预算数为“三公”经费年初预算数，决算数是包括当年一般公共预算财政拨款和以前年度结转资金安排的实际支出。</w:t>
      </w:r>
    </w:p>
    <w:p>
      <w:pPr>
        <w:rPr>
          <w:rFonts w:hint="eastAsia"/>
        </w:rPr>
      </w:pPr>
    </w:p>
    <w:p>
      <w:pPr>
        <w:rPr>
          <w:rFonts w:hint="eastAsia"/>
        </w:rPr>
      </w:pPr>
    </w:p>
    <w:tbl>
      <w:tblPr>
        <w:tblStyle w:val="4"/>
        <w:tblW w:w="12480" w:type="dxa"/>
        <w:jc w:val="center"/>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CellMar>
            <w:top w:w="0" w:type="dxa"/>
            <w:left w:w="108" w:type="dxa"/>
            <w:bottom w:w="0" w:type="dxa"/>
            <w:right w:w="108" w:type="dxa"/>
          </w:tblCellMar>
        </w:tblPrEx>
        <w:trPr>
          <w:trHeight w:val="570" w:hRule="atLeast"/>
          <w:jc w:val="center"/>
        </w:trPr>
        <w:tc>
          <w:tcPr>
            <w:tcW w:w="12480" w:type="dxa"/>
            <w:gridSpan w:val="12"/>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表八：政府性基金预算财政拨款收入支出决算表</w:t>
            </w:r>
          </w:p>
        </w:tc>
      </w:tr>
      <w:tr>
        <w:tblPrEx>
          <w:tblCellMar>
            <w:top w:w="0" w:type="dxa"/>
            <w:left w:w="108" w:type="dxa"/>
            <w:bottom w:w="0" w:type="dxa"/>
            <w:right w:w="108" w:type="dxa"/>
          </w:tblCellMar>
        </w:tblPrEx>
        <w:trPr>
          <w:trHeight w:val="285" w:hRule="atLeast"/>
          <w:jc w:val="center"/>
        </w:trPr>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385" w:type="dxa"/>
            <w:tcBorders>
              <w:top w:val="nil"/>
              <w:left w:val="nil"/>
              <w:bottom w:val="nil"/>
              <w:right w:val="nil"/>
            </w:tcBorders>
            <w:vAlign w:val="bottom"/>
          </w:tcPr>
          <w:p>
            <w:pPr>
              <w:widowControl/>
              <w:jc w:val="left"/>
              <w:rPr>
                <w:rFonts w:ascii="仿宋_GB2312" w:hAnsi="宋体" w:cs="宋体"/>
                <w:kern w:val="0"/>
                <w:sz w:val="24"/>
              </w:rPr>
            </w:pPr>
          </w:p>
        </w:tc>
        <w:tc>
          <w:tcPr>
            <w:tcW w:w="765"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2010" w:type="dxa"/>
            <w:gridSpan w:val="2"/>
            <w:tcBorders>
              <w:top w:val="nil"/>
              <w:left w:val="nil"/>
              <w:bottom w:val="nil"/>
              <w:right w:val="nil"/>
            </w:tcBorders>
            <w:vAlign w:val="bottom"/>
          </w:tcPr>
          <w:p>
            <w:pPr>
              <w:widowControl/>
              <w:jc w:val="right"/>
              <w:rPr>
                <w:rFonts w:ascii="仿宋_GB2312" w:hAnsi="宋体" w:cs="宋体"/>
                <w:kern w:val="0"/>
                <w:sz w:val="22"/>
                <w:szCs w:val="22"/>
              </w:rPr>
            </w:pPr>
            <w:r>
              <w:rPr>
                <w:rFonts w:hint="eastAsia" w:ascii="仿宋_GB2312" w:hAnsi="宋体" w:cs="宋体"/>
                <w:kern w:val="0"/>
                <w:sz w:val="22"/>
                <w:szCs w:val="22"/>
              </w:rPr>
              <w:t>单位：万元</w:t>
            </w:r>
          </w:p>
        </w:tc>
      </w:tr>
      <w:tr>
        <w:tblPrEx>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支出功能分类</w:t>
            </w:r>
            <w:r>
              <w:rPr>
                <w:rFonts w:hint="eastAsia" w:ascii="宋体" w:hAnsi="宋体" w:cs="宋体"/>
                <w:kern w:val="0"/>
                <w:sz w:val="22"/>
                <w:szCs w:val="22"/>
              </w:rPr>
              <w:t>科目编码</w:t>
            </w:r>
          </w:p>
        </w:tc>
        <w:tc>
          <w:tcPr>
            <w:tcW w:w="13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w:t>
            </w:r>
            <w:r>
              <w:rPr>
                <w:rFonts w:hint="eastAsia" w:ascii="宋体" w:hAnsi="宋体" w:cs="宋体"/>
                <w:color w:val="000000"/>
                <w:kern w:val="0"/>
                <w:sz w:val="22"/>
                <w:szCs w:val="22"/>
                <w:lang w:eastAsia="zh-CN"/>
              </w:rPr>
              <w:t>初</w:t>
            </w:r>
            <w:r>
              <w:rPr>
                <w:rFonts w:hint="eastAsia" w:ascii="宋体" w:hAnsi="宋体" w:cs="宋体"/>
                <w:color w:val="000000"/>
                <w:kern w:val="0"/>
                <w:sz w:val="22"/>
                <w:szCs w:val="22"/>
              </w:rPr>
              <w:t>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shd w:val="clear" w:color="auto" w:fill="auto"/>
            <w:vAlign w:val="center"/>
          </w:tcPr>
          <w:p>
            <w:pPr>
              <w:widowControl/>
              <w:jc w:val="left"/>
              <w:rPr>
                <w:rFonts w:ascii="宋体" w:hAns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765"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基本支出结转</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项目支出结转和结余</w:t>
            </w:r>
          </w:p>
        </w:tc>
        <w:tc>
          <w:tcPr>
            <w:tcW w:w="1040"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基本支出结转</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项目支出结转和结余</w:t>
            </w:r>
          </w:p>
        </w:tc>
      </w:tr>
      <w:tr>
        <w:tblPrEx>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hAns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76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　合  计</w:t>
            </w:r>
          </w:p>
        </w:tc>
        <w:tc>
          <w:tcPr>
            <w:tcW w:w="7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类</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款</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项</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bl>
    <w:p>
      <w:pPr>
        <w:spacing w:line="560" w:lineRule="exact"/>
        <w:ind w:firstLine="420"/>
        <w:rPr>
          <w:rFonts w:hint="eastAsia"/>
          <w:lang w:eastAsia="zh-CN"/>
        </w:rPr>
      </w:pPr>
      <w:r>
        <w:rPr>
          <w:rFonts w:hint="eastAsia"/>
          <w:lang w:eastAsia="zh-CN"/>
        </w:rPr>
        <w:t>注：本表反映部门本年度政府性基金预算财政拨款收入支出及结转和结余情况。</w:t>
      </w:r>
    </w:p>
    <w:p>
      <w:pPr>
        <w:spacing w:line="560" w:lineRule="exact"/>
        <w:ind w:firstLine="420"/>
        <w:rPr>
          <w:rFonts w:hint="eastAsia" w:ascii="仿宋_GB2312" w:hAnsi="黑体" w:eastAsia="仿宋_GB2312"/>
          <w:b/>
          <w:sz w:val="32"/>
          <w:szCs w:val="32"/>
        </w:rPr>
        <w:sectPr>
          <w:pgSz w:w="16838" w:h="11906" w:orient="landscape"/>
          <w:pgMar w:top="1797" w:right="1440" w:bottom="1797" w:left="1440" w:header="851" w:footer="992" w:gutter="0"/>
          <w:pgNumType w:fmt="numberInDash"/>
          <w:cols w:space="720" w:num="1"/>
          <w:docGrid w:type="lines" w:linePitch="312" w:charSpace="0"/>
        </w:sectPr>
      </w:pPr>
      <w:r>
        <w:rPr>
          <w:rFonts w:hint="eastAsia" w:ascii="仿宋_GB2312" w:hAnsi="黑体" w:eastAsia="仿宋_GB2312"/>
          <w:b/>
          <w:sz w:val="32"/>
          <w:szCs w:val="32"/>
        </w:rPr>
        <w:t>柳州市产品质量安全检验所没有</w:t>
      </w:r>
      <w:r>
        <w:rPr>
          <w:rFonts w:hint="eastAsia" w:ascii="仿宋_GB2312" w:hAnsi="黑体" w:eastAsia="仿宋_GB2312" w:cs="Times New Roman"/>
          <w:b/>
          <w:kern w:val="2"/>
          <w:sz w:val="32"/>
          <w:szCs w:val="32"/>
        </w:rPr>
        <w:t>政府性基金</w:t>
      </w:r>
      <w:r>
        <w:rPr>
          <w:rFonts w:hint="eastAsia" w:ascii="仿宋_GB2312" w:hAnsi="黑体" w:eastAsia="仿宋_GB2312"/>
          <w:b/>
          <w:sz w:val="32"/>
          <w:szCs w:val="32"/>
        </w:rPr>
        <w:t>收入，也没有</w:t>
      </w:r>
      <w:r>
        <w:rPr>
          <w:rFonts w:hint="eastAsia" w:ascii="仿宋_GB2312" w:hAnsi="黑体" w:eastAsia="仿宋_GB2312" w:cs="Times New Roman"/>
          <w:b/>
          <w:kern w:val="2"/>
          <w:sz w:val="32"/>
          <w:szCs w:val="32"/>
        </w:rPr>
        <w:t>政府性基金</w:t>
      </w:r>
      <w:r>
        <w:rPr>
          <w:rFonts w:hint="eastAsia" w:ascii="仿宋_GB2312" w:hAnsi="黑体" w:eastAsia="仿宋_GB2312"/>
          <w:b/>
          <w:sz w:val="32"/>
          <w:szCs w:val="32"/>
        </w:rPr>
        <w:t>安排的支出，故本表无数据</w:t>
      </w:r>
    </w:p>
    <w:p>
      <w:pPr>
        <w:spacing w:line="560" w:lineRule="exact"/>
        <w:rPr>
          <w:rFonts w:hint="eastAsia"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lang w:eastAsia="zh-CN"/>
        </w:rPr>
        <w:t>柳州市产品质量安全检验所</w:t>
      </w:r>
      <w:r>
        <w:rPr>
          <w:rFonts w:hint="eastAsia" w:ascii="仿宋_GB2312" w:eastAsia="仿宋_GB2312"/>
          <w:b/>
          <w:sz w:val="32"/>
          <w:szCs w:val="32"/>
          <w:lang w:eastAsia="zh-CN"/>
        </w:rPr>
        <w:t>201</w:t>
      </w:r>
      <w:r>
        <w:rPr>
          <w:rFonts w:hint="eastAsia" w:ascii="仿宋_GB2312" w:eastAsia="仿宋_GB2312"/>
          <w:b/>
          <w:sz w:val="32"/>
          <w:szCs w:val="32"/>
          <w:lang w:val="en-US" w:eastAsia="zh-CN"/>
        </w:rPr>
        <w:t>9</w:t>
      </w:r>
      <w:r>
        <w:rPr>
          <w:rFonts w:hint="eastAsia" w:ascii="仿宋_GB2312" w:eastAsia="仿宋_GB2312"/>
          <w:b/>
          <w:sz w:val="32"/>
          <w:szCs w:val="32"/>
        </w:rPr>
        <w:t>年度部门决算情况说明</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eastAsia="仿宋_GB2312"/>
          <w:b/>
          <w:kern w:val="0"/>
          <w:sz w:val="32"/>
          <w:szCs w:val="32"/>
          <w:lang w:eastAsia="zh-CN"/>
        </w:rPr>
        <w:t>201</w:t>
      </w:r>
      <w:r>
        <w:rPr>
          <w:rFonts w:hint="eastAsia" w:eastAsia="仿宋_GB2312"/>
          <w:b/>
          <w:kern w:val="0"/>
          <w:sz w:val="32"/>
          <w:szCs w:val="32"/>
          <w:lang w:val="en-US" w:eastAsia="zh-CN"/>
        </w:rPr>
        <w:t>9</w:t>
      </w:r>
      <w:r>
        <w:rPr>
          <w:rFonts w:hint="eastAsia" w:ascii="仿宋_GB2312" w:eastAsia="仿宋_GB2312" w:cs="仿宋_GB2312"/>
          <w:b/>
          <w:kern w:val="0"/>
          <w:sz w:val="32"/>
          <w:szCs w:val="32"/>
        </w:rPr>
        <w:t>年度收入支出决算总体情况</w:t>
      </w:r>
    </w:p>
    <w:p>
      <w:pPr>
        <w:autoSpaceDE w:val="0"/>
        <w:autoSpaceDN w:val="0"/>
        <w:adjustRightInd w:val="0"/>
        <w:spacing w:line="560" w:lineRule="exact"/>
        <w:ind w:firstLine="643" w:firstLineChars="200"/>
        <w:jc w:val="left"/>
        <w:rPr>
          <w:rFonts w:hint="default" w:ascii="仿宋_GB2312" w:eastAsia="仿宋_GB2312" w:cs="仿宋_GB2312"/>
          <w:b w:val="0"/>
          <w:bCs/>
          <w:kern w:val="0"/>
          <w:sz w:val="32"/>
          <w:szCs w:val="32"/>
          <w:lang w:val="en-US" w:eastAsia="zh-CN"/>
        </w:rPr>
      </w:pPr>
      <w:r>
        <w:rPr>
          <w:rFonts w:hint="eastAsia" w:ascii="仿宋_GB2312" w:eastAsia="仿宋_GB2312" w:cs="仿宋_GB2312"/>
          <w:b/>
          <w:kern w:val="0"/>
          <w:sz w:val="32"/>
          <w:szCs w:val="32"/>
        </w:rPr>
        <w:t xml:space="preserve"> </w:t>
      </w:r>
      <w:r>
        <w:rPr>
          <w:rFonts w:hint="eastAsia" w:ascii="仿宋_GB2312" w:eastAsia="仿宋_GB2312" w:cs="仿宋_GB2312"/>
          <w:b w:val="0"/>
          <w:bCs/>
          <w:kern w:val="0"/>
          <w:sz w:val="32"/>
          <w:szCs w:val="32"/>
          <w:lang w:eastAsia="zh-CN"/>
        </w:rPr>
        <w:t>201</w:t>
      </w:r>
      <w:r>
        <w:rPr>
          <w:rFonts w:hint="eastAsia" w:ascii="仿宋_GB2312" w:eastAsia="仿宋_GB2312" w:cs="仿宋_GB2312"/>
          <w:b w:val="0"/>
          <w:bCs/>
          <w:kern w:val="0"/>
          <w:sz w:val="32"/>
          <w:szCs w:val="32"/>
          <w:lang w:val="en-US" w:eastAsia="zh-CN"/>
        </w:rPr>
        <w:t>9</w:t>
      </w:r>
      <w:r>
        <w:rPr>
          <w:rFonts w:hint="eastAsia" w:ascii="仿宋_GB2312" w:eastAsia="仿宋_GB2312" w:cs="仿宋_GB2312"/>
          <w:b w:val="0"/>
          <w:bCs/>
          <w:kern w:val="0"/>
          <w:sz w:val="32"/>
          <w:szCs w:val="32"/>
        </w:rPr>
        <w:t>年度收入总计</w:t>
      </w:r>
      <w:r>
        <w:rPr>
          <w:rFonts w:hint="eastAsia" w:ascii="仿宋_GB2312" w:eastAsia="仿宋_GB2312" w:cs="仿宋_GB2312"/>
          <w:b w:val="0"/>
          <w:bCs/>
          <w:kern w:val="0"/>
          <w:sz w:val="32"/>
          <w:szCs w:val="32"/>
          <w:lang w:val="en-US" w:eastAsia="zh-CN"/>
        </w:rPr>
        <w:t>2503.32</w:t>
      </w:r>
      <w:r>
        <w:rPr>
          <w:rFonts w:hint="eastAsia" w:ascii="仿宋_GB2312" w:eastAsia="仿宋_GB2312" w:cs="仿宋_GB2312"/>
          <w:b w:val="0"/>
          <w:bCs/>
          <w:kern w:val="0"/>
          <w:sz w:val="32"/>
          <w:szCs w:val="32"/>
        </w:rPr>
        <w:t>万元，支出总计</w:t>
      </w:r>
      <w:r>
        <w:rPr>
          <w:rFonts w:hint="eastAsia" w:ascii="仿宋_GB2312" w:eastAsia="仿宋_GB2312" w:cs="仿宋_GB2312"/>
          <w:b w:val="0"/>
          <w:bCs/>
          <w:kern w:val="0"/>
          <w:sz w:val="32"/>
          <w:szCs w:val="32"/>
          <w:lang w:val="en-US" w:eastAsia="zh-CN"/>
        </w:rPr>
        <w:t>2281.44</w:t>
      </w:r>
      <w:r>
        <w:rPr>
          <w:rFonts w:hint="eastAsia" w:ascii="仿宋_GB2312" w:eastAsia="仿宋_GB2312" w:cs="仿宋_GB2312"/>
          <w:b w:val="0"/>
          <w:bCs/>
          <w:kern w:val="0"/>
          <w:sz w:val="32"/>
          <w:szCs w:val="32"/>
        </w:rPr>
        <w:t>万元，与</w:t>
      </w:r>
      <w:r>
        <w:rPr>
          <w:rFonts w:hint="eastAsia" w:ascii="仿宋_GB2312" w:eastAsia="仿宋_GB2312" w:cs="仿宋_GB2312"/>
          <w:b w:val="0"/>
          <w:bCs/>
          <w:kern w:val="0"/>
          <w:sz w:val="32"/>
          <w:szCs w:val="32"/>
          <w:lang w:eastAsia="zh-CN"/>
        </w:rPr>
        <w:t>201</w:t>
      </w:r>
      <w:r>
        <w:rPr>
          <w:rFonts w:hint="eastAsia" w:ascii="仿宋_GB2312" w:eastAsia="仿宋_GB2312" w:cs="仿宋_GB2312"/>
          <w:b w:val="0"/>
          <w:bCs/>
          <w:kern w:val="0"/>
          <w:sz w:val="32"/>
          <w:szCs w:val="32"/>
          <w:lang w:val="en-US" w:eastAsia="zh-CN"/>
        </w:rPr>
        <w:t>8</w:t>
      </w:r>
      <w:r>
        <w:rPr>
          <w:rFonts w:hint="eastAsia" w:ascii="仿宋_GB2312" w:eastAsia="仿宋_GB2312" w:cs="仿宋_GB2312"/>
          <w:b w:val="0"/>
          <w:bCs/>
          <w:kern w:val="0"/>
          <w:sz w:val="32"/>
          <w:szCs w:val="32"/>
        </w:rPr>
        <w:t>年相比，收、支分别增加</w:t>
      </w:r>
      <w:r>
        <w:rPr>
          <w:rFonts w:hint="eastAsia" w:ascii="仿宋_GB2312" w:eastAsia="仿宋_GB2312" w:cs="仿宋_GB2312"/>
          <w:b w:val="0"/>
          <w:bCs/>
          <w:kern w:val="0"/>
          <w:sz w:val="32"/>
          <w:szCs w:val="32"/>
          <w:lang w:val="en-US" w:eastAsia="zh-CN"/>
        </w:rPr>
        <w:t>180.99万元和539.96万元</w:t>
      </w:r>
      <w:r>
        <w:rPr>
          <w:rFonts w:hint="eastAsia" w:ascii="仿宋_GB2312" w:eastAsia="仿宋_GB2312" w:cs="仿宋_GB2312"/>
          <w:b w:val="0"/>
          <w:bCs/>
          <w:kern w:val="0"/>
          <w:sz w:val="32"/>
          <w:szCs w:val="32"/>
        </w:rPr>
        <w:t>；分别增长</w:t>
      </w:r>
      <w:r>
        <w:rPr>
          <w:rFonts w:hint="eastAsia" w:ascii="仿宋_GB2312" w:eastAsia="仿宋_GB2312" w:cs="仿宋_GB2312"/>
          <w:b w:val="0"/>
          <w:bCs/>
          <w:kern w:val="0"/>
          <w:sz w:val="32"/>
          <w:szCs w:val="32"/>
          <w:lang w:val="en-US" w:eastAsia="zh-CN"/>
        </w:rPr>
        <w:t>7.79</w:t>
      </w:r>
      <w:r>
        <w:rPr>
          <w:rFonts w:hint="eastAsia" w:ascii="仿宋_GB2312" w:eastAsia="仿宋_GB2312" w:cs="仿宋_GB2312"/>
          <w:b w:val="0"/>
          <w:bCs/>
          <w:kern w:val="0"/>
          <w:sz w:val="32"/>
          <w:szCs w:val="32"/>
        </w:rPr>
        <w:t>%</w:t>
      </w:r>
      <w:r>
        <w:rPr>
          <w:rFonts w:hint="eastAsia" w:ascii="仿宋_GB2312" w:eastAsia="仿宋_GB2312" w:cs="仿宋_GB2312"/>
          <w:b w:val="0"/>
          <w:bCs/>
          <w:kern w:val="0"/>
          <w:sz w:val="32"/>
          <w:szCs w:val="32"/>
          <w:lang w:eastAsia="zh-CN"/>
        </w:rPr>
        <w:t>和</w:t>
      </w:r>
      <w:r>
        <w:rPr>
          <w:rFonts w:hint="eastAsia" w:ascii="仿宋_GB2312" w:eastAsia="仿宋_GB2312" w:cs="仿宋_GB2312"/>
          <w:b w:val="0"/>
          <w:bCs/>
          <w:kern w:val="0"/>
          <w:sz w:val="32"/>
          <w:szCs w:val="32"/>
          <w:lang w:val="en-US" w:eastAsia="zh-CN"/>
        </w:rPr>
        <w:t>31%。</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rPr>
      </w:pPr>
      <w:r>
        <w:rPr>
          <w:rFonts w:hint="eastAsia" w:ascii="仿宋_GB2312" w:eastAsia="仿宋_GB2312" w:cs="仿宋_GB2312"/>
          <w:b/>
          <w:kern w:val="0"/>
          <w:sz w:val="32"/>
          <w:szCs w:val="32"/>
          <w:lang w:eastAsia="zh-CN"/>
        </w:rPr>
        <w:t>二、</w:t>
      </w:r>
      <w:r>
        <w:rPr>
          <w:rFonts w:hint="eastAsia" w:eastAsia="仿宋_GB2312"/>
          <w:b/>
          <w:kern w:val="0"/>
          <w:sz w:val="32"/>
          <w:szCs w:val="32"/>
          <w:lang w:eastAsia="zh-CN"/>
        </w:rPr>
        <w:t>201</w:t>
      </w:r>
      <w:r>
        <w:rPr>
          <w:rFonts w:hint="eastAsia" w:eastAsia="仿宋_GB2312"/>
          <w:b/>
          <w:kern w:val="0"/>
          <w:sz w:val="32"/>
          <w:szCs w:val="32"/>
          <w:lang w:val="en-US" w:eastAsia="zh-CN"/>
        </w:rPr>
        <w:t>9</w:t>
      </w:r>
      <w:r>
        <w:rPr>
          <w:rFonts w:hint="eastAsia" w:ascii="仿宋_GB2312" w:eastAsia="仿宋_GB2312" w:cs="仿宋_GB2312"/>
          <w:b/>
          <w:kern w:val="0"/>
          <w:sz w:val="32"/>
          <w:szCs w:val="32"/>
        </w:rPr>
        <w:t>年度收入决算情况</w:t>
      </w:r>
    </w:p>
    <w:p>
      <w:pPr>
        <w:autoSpaceDE w:val="0"/>
        <w:autoSpaceDN w:val="0"/>
        <w:adjustRightInd w:val="0"/>
        <w:spacing w:line="560" w:lineRule="exact"/>
        <w:ind w:firstLine="640" w:firstLineChars="200"/>
        <w:jc w:val="left"/>
        <w:rPr>
          <w:rFonts w:hint="eastAsia" w:ascii="仿宋_GB2312" w:eastAsia="仿宋_GB2312" w:cs="仿宋_GB2312"/>
          <w:b/>
          <w:kern w:val="0"/>
          <w:sz w:val="32"/>
          <w:szCs w:val="32"/>
        </w:rPr>
      </w:pPr>
      <w:r>
        <w:rPr>
          <w:rFonts w:hint="eastAsia" w:ascii="仿宋_GB2312" w:eastAsia="仿宋_GB2312" w:cs="仿宋_GB2312"/>
          <w:b w:val="0"/>
          <w:bCs/>
          <w:kern w:val="0"/>
          <w:sz w:val="32"/>
          <w:szCs w:val="32"/>
        </w:rPr>
        <w:t>本年收入总计</w:t>
      </w:r>
      <w:r>
        <w:rPr>
          <w:rFonts w:hint="eastAsia" w:ascii="仿宋_GB2312" w:eastAsia="仿宋_GB2312" w:cs="仿宋_GB2312"/>
          <w:b w:val="0"/>
          <w:bCs/>
          <w:kern w:val="0"/>
          <w:sz w:val="32"/>
          <w:szCs w:val="32"/>
          <w:lang w:val="en-US" w:eastAsia="zh-CN"/>
        </w:rPr>
        <w:t>2503.32</w:t>
      </w:r>
      <w:r>
        <w:rPr>
          <w:rFonts w:hint="eastAsia" w:ascii="仿宋_GB2312" w:eastAsia="仿宋_GB2312" w:cs="仿宋_GB2312"/>
          <w:b w:val="0"/>
          <w:bCs/>
          <w:kern w:val="0"/>
          <w:sz w:val="32"/>
          <w:szCs w:val="32"/>
        </w:rPr>
        <w:t>万元（逐项说明） ，其中：</w:t>
      </w:r>
      <w:r>
        <w:rPr>
          <w:rFonts w:hint="eastAsia" w:ascii="仿宋_GB2312" w:eastAsia="仿宋_GB2312" w:cs="仿宋_GB2312"/>
          <w:b w:val="0"/>
          <w:bCs/>
          <w:kern w:val="0"/>
          <w:sz w:val="32"/>
          <w:szCs w:val="32"/>
          <w:lang w:eastAsia="zh-CN"/>
        </w:rPr>
        <w:t>一般公共预算财政拨款</w:t>
      </w:r>
      <w:r>
        <w:rPr>
          <w:rFonts w:hint="eastAsia" w:ascii="仿宋_GB2312" w:eastAsia="仿宋_GB2312" w:cs="仿宋_GB2312"/>
          <w:b w:val="0"/>
          <w:bCs/>
          <w:kern w:val="0"/>
          <w:sz w:val="32"/>
          <w:szCs w:val="32"/>
        </w:rPr>
        <w:t>收入</w:t>
      </w:r>
      <w:r>
        <w:rPr>
          <w:rFonts w:hint="eastAsia" w:ascii="仿宋_GB2312" w:eastAsia="仿宋_GB2312" w:cs="仿宋_GB2312"/>
          <w:b w:val="0"/>
          <w:bCs/>
          <w:kern w:val="0"/>
          <w:sz w:val="32"/>
          <w:szCs w:val="32"/>
          <w:lang w:val="en-US" w:eastAsia="zh-CN"/>
        </w:rPr>
        <w:t>2266.77</w:t>
      </w:r>
      <w:r>
        <w:rPr>
          <w:rFonts w:hint="eastAsia" w:ascii="仿宋_GB2312" w:eastAsia="仿宋_GB2312" w:cs="仿宋_GB2312"/>
          <w:b w:val="0"/>
          <w:bCs/>
          <w:kern w:val="0"/>
          <w:sz w:val="32"/>
          <w:szCs w:val="32"/>
        </w:rPr>
        <w:t>万元；占比</w:t>
      </w:r>
      <w:r>
        <w:rPr>
          <w:rFonts w:hint="eastAsia" w:ascii="仿宋_GB2312" w:eastAsia="仿宋_GB2312" w:cs="仿宋_GB2312"/>
          <w:b w:val="0"/>
          <w:bCs/>
          <w:kern w:val="0"/>
          <w:sz w:val="32"/>
          <w:szCs w:val="32"/>
          <w:lang w:val="en-US" w:eastAsia="zh-CN"/>
        </w:rPr>
        <w:t>90.55%</w:t>
      </w:r>
      <w:r>
        <w:rPr>
          <w:rFonts w:hint="eastAsia" w:ascii="仿宋_GB2312" w:eastAsia="仿宋_GB2312" w:cs="仿宋_GB2312"/>
          <w:b w:val="0"/>
          <w:bCs/>
          <w:kern w:val="0"/>
          <w:sz w:val="32"/>
          <w:szCs w:val="32"/>
        </w:rPr>
        <w:t>；</w:t>
      </w:r>
      <w:r>
        <w:rPr>
          <w:rFonts w:hint="eastAsia" w:ascii="仿宋_GB2312" w:eastAsia="仿宋_GB2312" w:cs="仿宋_GB2312"/>
          <w:b w:val="0"/>
          <w:bCs/>
          <w:kern w:val="0"/>
          <w:sz w:val="32"/>
          <w:szCs w:val="32"/>
          <w:lang w:eastAsia="zh-CN"/>
        </w:rPr>
        <w:t>政府基金预算财政拨款收入</w:t>
      </w:r>
      <w:r>
        <w:rPr>
          <w:rFonts w:hint="eastAsia" w:ascii="仿宋_GB2312" w:eastAsia="仿宋_GB2312" w:cs="仿宋_GB2312"/>
          <w:b w:val="0"/>
          <w:bCs/>
          <w:kern w:val="0"/>
          <w:sz w:val="32"/>
          <w:szCs w:val="32"/>
          <w:lang w:val="en-US" w:eastAsia="zh-CN"/>
        </w:rPr>
        <w:t>0万元；占比0；</w:t>
      </w:r>
      <w:r>
        <w:rPr>
          <w:rFonts w:hint="eastAsia" w:ascii="仿宋_GB2312" w:eastAsia="仿宋_GB2312" w:cs="仿宋_GB2312"/>
          <w:b w:val="0"/>
          <w:bCs/>
          <w:kern w:val="0"/>
          <w:sz w:val="32"/>
          <w:szCs w:val="32"/>
        </w:rPr>
        <w:t>上级补助收入</w:t>
      </w:r>
      <w:r>
        <w:rPr>
          <w:rFonts w:hint="eastAsia" w:ascii="仿宋_GB2312" w:eastAsia="仿宋_GB2312" w:cs="仿宋_GB2312"/>
          <w:b w:val="0"/>
          <w:bCs/>
          <w:kern w:val="0"/>
          <w:sz w:val="32"/>
          <w:szCs w:val="32"/>
          <w:lang w:val="en-US" w:eastAsia="zh-CN"/>
        </w:rPr>
        <w:t>0</w:t>
      </w:r>
      <w:r>
        <w:rPr>
          <w:rFonts w:hint="eastAsia" w:ascii="仿宋_GB2312" w:eastAsia="仿宋_GB2312" w:cs="仿宋_GB2312"/>
          <w:b w:val="0"/>
          <w:bCs/>
          <w:kern w:val="0"/>
          <w:sz w:val="32"/>
          <w:szCs w:val="32"/>
        </w:rPr>
        <w:t>万元，占比</w:t>
      </w:r>
      <w:r>
        <w:rPr>
          <w:rFonts w:hint="eastAsia" w:ascii="仿宋_GB2312" w:eastAsia="仿宋_GB2312" w:cs="仿宋_GB2312"/>
          <w:b w:val="0"/>
          <w:bCs/>
          <w:kern w:val="0"/>
          <w:sz w:val="32"/>
          <w:szCs w:val="32"/>
          <w:lang w:val="en-US" w:eastAsia="zh-CN"/>
        </w:rPr>
        <w:t>0</w:t>
      </w:r>
      <w:r>
        <w:rPr>
          <w:rFonts w:hint="eastAsia" w:ascii="仿宋_GB2312" w:eastAsia="仿宋_GB2312" w:cs="仿宋_GB2312"/>
          <w:b w:val="0"/>
          <w:bCs/>
          <w:kern w:val="0"/>
          <w:sz w:val="32"/>
          <w:szCs w:val="32"/>
        </w:rPr>
        <w:t xml:space="preserve"> ；事业收入</w:t>
      </w:r>
      <w:r>
        <w:rPr>
          <w:rFonts w:hint="eastAsia" w:ascii="仿宋_GB2312" w:eastAsia="仿宋_GB2312" w:cs="仿宋_GB2312"/>
          <w:b w:val="0"/>
          <w:bCs/>
          <w:kern w:val="0"/>
          <w:sz w:val="32"/>
          <w:szCs w:val="32"/>
          <w:lang w:val="en-US" w:eastAsia="zh-CN"/>
        </w:rPr>
        <w:t>0</w:t>
      </w:r>
      <w:r>
        <w:rPr>
          <w:rFonts w:hint="eastAsia" w:ascii="仿宋_GB2312" w:eastAsia="仿宋_GB2312" w:cs="仿宋_GB2312"/>
          <w:b w:val="0"/>
          <w:bCs/>
          <w:kern w:val="0"/>
          <w:sz w:val="32"/>
          <w:szCs w:val="32"/>
        </w:rPr>
        <w:t>万元，占比</w:t>
      </w:r>
      <w:r>
        <w:rPr>
          <w:rFonts w:hint="eastAsia" w:ascii="仿宋_GB2312" w:eastAsia="仿宋_GB2312" w:cs="仿宋_GB2312"/>
          <w:b w:val="0"/>
          <w:bCs/>
          <w:kern w:val="0"/>
          <w:sz w:val="32"/>
          <w:szCs w:val="32"/>
          <w:lang w:val="en-US" w:eastAsia="zh-CN"/>
        </w:rPr>
        <w:t>0</w:t>
      </w:r>
      <w:r>
        <w:rPr>
          <w:rFonts w:hint="eastAsia" w:ascii="仿宋_GB2312" w:eastAsia="仿宋_GB2312" w:cs="仿宋_GB2312"/>
          <w:b w:val="0"/>
          <w:bCs/>
          <w:kern w:val="0"/>
          <w:sz w:val="32"/>
          <w:szCs w:val="32"/>
        </w:rPr>
        <w:t xml:space="preserve"> ；事业单位经营收入</w:t>
      </w:r>
      <w:r>
        <w:rPr>
          <w:rFonts w:hint="eastAsia" w:ascii="仿宋_GB2312" w:eastAsia="仿宋_GB2312" w:cs="仿宋_GB2312"/>
          <w:b w:val="0"/>
          <w:bCs/>
          <w:kern w:val="0"/>
          <w:sz w:val="32"/>
          <w:szCs w:val="32"/>
          <w:lang w:val="en-US" w:eastAsia="zh-CN"/>
        </w:rPr>
        <w:t>196.49</w:t>
      </w:r>
      <w:r>
        <w:rPr>
          <w:rFonts w:hint="eastAsia" w:ascii="仿宋_GB2312" w:eastAsia="仿宋_GB2312" w:cs="仿宋_GB2312"/>
          <w:b w:val="0"/>
          <w:bCs/>
          <w:kern w:val="0"/>
          <w:sz w:val="32"/>
          <w:szCs w:val="32"/>
        </w:rPr>
        <w:t>万元，占比</w:t>
      </w:r>
      <w:r>
        <w:rPr>
          <w:rFonts w:hint="eastAsia" w:ascii="仿宋_GB2312" w:eastAsia="仿宋_GB2312" w:cs="仿宋_GB2312"/>
          <w:b w:val="0"/>
          <w:bCs/>
          <w:kern w:val="0"/>
          <w:sz w:val="32"/>
          <w:szCs w:val="32"/>
          <w:lang w:val="en-US" w:eastAsia="zh-CN"/>
        </w:rPr>
        <w:t>7.85%</w:t>
      </w:r>
      <w:r>
        <w:rPr>
          <w:rFonts w:hint="eastAsia" w:ascii="仿宋_GB2312" w:eastAsia="仿宋_GB2312" w:cs="仿宋_GB2312"/>
          <w:b w:val="0"/>
          <w:bCs/>
          <w:kern w:val="0"/>
          <w:sz w:val="32"/>
          <w:szCs w:val="32"/>
        </w:rPr>
        <w:t>；其他收入</w:t>
      </w:r>
      <w:r>
        <w:rPr>
          <w:rFonts w:hint="eastAsia" w:ascii="仿宋_GB2312" w:eastAsia="仿宋_GB2312" w:cs="仿宋_GB2312"/>
          <w:b w:val="0"/>
          <w:bCs/>
          <w:kern w:val="0"/>
          <w:sz w:val="32"/>
          <w:szCs w:val="32"/>
          <w:lang w:val="en-US" w:eastAsia="zh-CN"/>
        </w:rPr>
        <w:t>40.06</w:t>
      </w:r>
      <w:r>
        <w:rPr>
          <w:rFonts w:hint="eastAsia" w:ascii="仿宋_GB2312" w:eastAsia="仿宋_GB2312" w:cs="仿宋_GB2312"/>
          <w:b w:val="0"/>
          <w:bCs/>
          <w:kern w:val="0"/>
          <w:sz w:val="32"/>
          <w:szCs w:val="32"/>
        </w:rPr>
        <w:t>万元，占比</w:t>
      </w:r>
      <w:r>
        <w:rPr>
          <w:rFonts w:hint="eastAsia" w:ascii="仿宋_GB2312" w:eastAsia="仿宋_GB2312" w:cs="仿宋_GB2312"/>
          <w:b w:val="0"/>
          <w:bCs/>
          <w:kern w:val="0"/>
          <w:sz w:val="32"/>
          <w:szCs w:val="32"/>
          <w:lang w:val="en-US" w:eastAsia="zh-CN"/>
        </w:rPr>
        <w:t>1.6%</w:t>
      </w:r>
      <w:r>
        <w:rPr>
          <w:rFonts w:hint="eastAsia" w:ascii="仿宋_GB2312" w:eastAsia="仿宋_GB2312" w:cs="仿宋_GB2312"/>
          <w:b w:val="0"/>
          <w:bCs/>
          <w:kern w:val="0"/>
          <w:sz w:val="32"/>
          <w:szCs w:val="32"/>
        </w:rPr>
        <w:t>。</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rPr>
      </w:pPr>
      <w:r>
        <w:rPr>
          <w:rFonts w:hint="eastAsia" w:ascii="仿宋_GB2312" w:eastAsia="仿宋_GB2312" w:cs="仿宋_GB2312"/>
          <w:b/>
          <w:kern w:val="0"/>
          <w:sz w:val="32"/>
          <w:szCs w:val="32"/>
          <w:lang w:eastAsia="zh-CN"/>
        </w:rPr>
        <w:t>三、</w:t>
      </w:r>
      <w:r>
        <w:rPr>
          <w:rFonts w:hint="eastAsia" w:eastAsia="仿宋_GB2312"/>
          <w:b/>
          <w:kern w:val="0"/>
          <w:sz w:val="32"/>
          <w:szCs w:val="32"/>
          <w:lang w:eastAsia="zh-CN"/>
        </w:rPr>
        <w:t>201</w:t>
      </w:r>
      <w:r>
        <w:rPr>
          <w:rFonts w:hint="eastAsia" w:eastAsia="仿宋_GB2312"/>
          <w:b/>
          <w:kern w:val="0"/>
          <w:sz w:val="32"/>
          <w:szCs w:val="32"/>
          <w:lang w:val="en-US" w:eastAsia="zh-CN"/>
        </w:rPr>
        <w:t>9</w:t>
      </w:r>
      <w:r>
        <w:rPr>
          <w:rFonts w:hint="eastAsia" w:ascii="仿宋_GB2312" w:eastAsia="仿宋_GB2312" w:cs="仿宋_GB2312"/>
          <w:b/>
          <w:kern w:val="0"/>
          <w:sz w:val="32"/>
          <w:szCs w:val="32"/>
        </w:rPr>
        <w:t>年度</w:t>
      </w:r>
      <w:r>
        <w:rPr>
          <w:rFonts w:hint="eastAsia" w:ascii="仿宋_GB2312" w:eastAsia="仿宋_GB2312" w:cs="仿宋_GB2312"/>
          <w:b/>
          <w:kern w:val="0"/>
          <w:sz w:val="32"/>
          <w:szCs w:val="32"/>
          <w:lang w:eastAsia="zh-CN"/>
        </w:rPr>
        <w:t>支出</w:t>
      </w:r>
      <w:r>
        <w:rPr>
          <w:rFonts w:hint="eastAsia" w:ascii="仿宋_GB2312" w:eastAsia="仿宋_GB2312" w:cs="仿宋_GB2312"/>
          <w:b/>
          <w:kern w:val="0"/>
          <w:sz w:val="32"/>
          <w:szCs w:val="32"/>
        </w:rPr>
        <w:t>决算情况</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lang w:val="en-US" w:eastAsia="zh-CN"/>
        </w:rPr>
      </w:pPr>
      <w:r>
        <w:rPr>
          <w:rFonts w:hint="eastAsia" w:ascii="仿宋_GB2312" w:eastAsia="仿宋_GB2312" w:cs="仿宋_GB2312"/>
          <w:b w:val="0"/>
          <w:bCs/>
          <w:kern w:val="0"/>
          <w:sz w:val="32"/>
          <w:szCs w:val="32"/>
        </w:rPr>
        <w:t>本年支出合计</w:t>
      </w:r>
      <w:r>
        <w:rPr>
          <w:rFonts w:hint="eastAsia" w:ascii="仿宋_GB2312" w:eastAsia="仿宋_GB2312" w:cs="仿宋_GB2312"/>
          <w:b w:val="0"/>
          <w:bCs/>
          <w:kern w:val="0"/>
          <w:sz w:val="32"/>
          <w:szCs w:val="32"/>
          <w:lang w:val="en-US" w:eastAsia="zh-CN"/>
        </w:rPr>
        <w:t>2281.44</w:t>
      </w:r>
      <w:r>
        <w:rPr>
          <w:rFonts w:hint="eastAsia" w:ascii="仿宋_GB2312" w:eastAsia="仿宋_GB2312" w:cs="仿宋_GB2312"/>
          <w:b w:val="0"/>
          <w:bCs/>
          <w:kern w:val="0"/>
          <w:sz w:val="32"/>
          <w:szCs w:val="32"/>
        </w:rPr>
        <w:t xml:space="preserve">万元（逐项说明），其中：基本支出 </w:t>
      </w:r>
      <w:r>
        <w:rPr>
          <w:rFonts w:hint="eastAsia" w:ascii="仿宋_GB2312" w:eastAsia="仿宋_GB2312" w:cs="仿宋_GB2312"/>
          <w:b w:val="0"/>
          <w:bCs/>
          <w:kern w:val="0"/>
          <w:sz w:val="32"/>
          <w:szCs w:val="32"/>
          <w:lang w:val="en-US" w:eastAsia="zh-CN"/>
        </w:rPr>
        <w:t>1585.86</w:t>
      </w:r>
      <w:r>
        <w:rPr>
          <w:rFonts w:hint="eastAsia" w:ascii="仿宋_GB2312" w:eastAsia="仿宋_GB2312" w:cs="仿宋_GB2312"/>
          <w:b w:val="0"/>
          <w:bCs/>
          <w:kern w:val="0"/>
          <w:sz w:val="32"/>
          <w:szCs w:val="32"/>
        </w:rPr>
        <w:t xml:space="preserve">万元，占 </w:t>
      </w:r>
      <w:r>
        <w:rPr>
          <w:rFonts w:hint="eastAsia" w:ascii="仿宋_GB2312" w:eastAsia="仿宋_GB2312" w:cs="仿宋_GB2312"/>
          <w:b w:val="0"/>
          <w:bCs/>
          <w:kern w:val="0"/>
          <w:sz w:val="32"/>
          <w:szCs w:val="32"/>
          <w:lang w:val="en-US" w:eastAsia="zh-CN"/>
        </w:rPr>
        <w:t>69.51</w:t>
      </w:r>
      <w:r>
        <w:rPr>
          <w:rFonts w:hint="eastAsia" w:ascii="仿宋_GB2312" w:eastAsia="仿宋_GB2312" w:cs="仿宋_GB2312"/>
          <w:b w:val="0"/>
          <w:bCs/>
          <w:kern w:val="0"/>
          <w:sz w:val="32"/>
          <w:szCs w:val="32"/>
        </w:rPr>
        <w:t>%；项目支出</w:t>
      </w:r>
      <w:r>
        <w:rPr>
          <w:rFonts w:hint="eastAsia" w:ascii="仿宋_GB2312" w:eastAsia="仿宋_GB2312" w:cs="仿宋_GB2312"/>
          <w:b w:val="0"/>
          <w:bCs/>
          <w:kern w:val="0"/>
          <w:sz w:val="32"/>
          <w:szCs w:val="32"/>
          <w:lang w:val="en-US" w:eastAsia="zh-CN"/>
        </w:rPr>
        <w:t>537.04</w:t>
      </w:r>
      <w:r>
        <w:rPr>
          <w:rFonts w:hint="eastAsia" w:ascii="仿宋_GB2312" w:eastAsia="仿宋_GB2312" w:cs="仿宋_GB2312"/>
          <w:b w:val="0"/>
          <w:bCs/>
          <w:kern w:val="0"/>
          <w:sz w:val="32"/>
          <w:szCs w:val="32"/>
        </w:rPr>
        <w:t>万元， 占</w:t>
      </w:r>
      <w:r>
        <w:rPr>
          <w:rFonts w:hint="eastAsia" w:ascii="仿宋_GB2312" w:eastAsia="仿宋_GB2312" w:cs="仿宋_GB2312"/>
          <w:b w:val="0"/>
          <w:bCs/>
          <w:kern w:val="0"/>
          <w:sz w:val="32"/>
          <w:szCs w:val="32"/>
          <w:lang w:val="en-US" w:eastAsia="zh-CN"/>
        </w:rPr>
        <w:t>23.54</w:t>
      </w:r>
      <w:r>
        <w:rPr>
          <w:rFonts w:hint="eastAsia" w:ascii="仿宋_GB2312" w:eastAsia="仿宋_GB2312" w:cs="仿宋_GB2312"/>
          <w:b w:val="0"/>
          <w:bCs/>
          <w:kern w:val="0"/>
          <w:sz w:val="32"/>
          <w:szCs w:val="32"/>
        </w:rPr>
        <w:t>%；经营支出</w:t>
      </w:r>
      <w:r>
        <w:rPr>
          <w:rFonts w:hint="eastAsia" w:ascii="仿宋_GB2312" w:eastAsia="仿宋_GB2312" w:cs="仿宋_GB2312"/>
          <w:b w:val="0"/>
          <w:bCs/>
          <w:kern w:val="0"/>
          <w:sz w:val="32"/>
          <w:szCs w:val="32"/>
          <w:lang w:val="en-US" w:eastAsia="zh-CN"/>
        </w:rPr>
        <w:t>158.54</w:t>
      </w:r>
      <w:r>
        <w:rPr>
          <w:rFonts w:hint="eastAsia" w:ascii="仿宋_GB2312" w:eastAsia="仿宋_GB2312" w:cs="仿宋_GB2312"/>
          <w:b w:val="0"/>
          <w:bCs/>
          <w:kern w:val="0"/>
          <w:sz w:val="32"/>
          <w:szCs w:val="32"/>
        </w:rPr>
        <w:t>万元，占</w:t>
      </w:r>
      <w:r>
        <w:rPr>
          <w:rFonts w:hint="eastAsia" w:ascii="仿宋_GB2312" w:eastAsia="仿宋_GB2312" w:cs="仿宋_GB2312"/>
          <w:b w:val="0"/>
          <w:bCs/>
          <w:kern w:val="0"/>
          <w:sz w:val="32"/>
          <w:szCs w:val="32"/>
          <w:lang w:val="en-US" w:eastAsia="zh-CN"/>
        </w:rPr>
        <w:t>6.95</w:t>
      </w:r>
      <w:r>
        <w:rPr>
          <w:rFonts w:hint="eastAsia" w:ascii="仿宋_GB2312" w:eastAsia="仿宋_GB2312" w:cs="仿宋_GB2312"/>
          <w:b w:val="0"/>
          <w:bCs/>
          <w:kern w:val="0"/>
          <w:sz w:val="32"/>
          <w:szCs w:val="32"/>
        </w:rPr>
        <w:t>%</w:t>
      </w:r>
      <w:r>
        <w:rPr>
          <w:rFonts w:hint="eastAsia" w:ascii="仿宋_GB2312" w:eastAsia="仿宋_GB2312" w:cs="仿宋_GB2312"/>
          <w:b w:val="0"/>
          <w:bCs/>
          <w:kern w:val="0"/>
          <w:sz w:val="32"/>
          <w:szCs w:val="32"/>
          <w:lang w:eastAsia="zh-CN"/>
        </w:rPr>
        <w:t>。</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lang w:eastAsia="zh-CN"/>
        </w:rPr>
      </w:pPr>
      <w:r>
        <w:rPr>
          <w:rFonts w:hint="eastAsia" w:ascii="仿宋_GB2312" w:eastAsia="仿宋_GB2312" w:cs="仿宋_GB2312"/>
          <w:b/>
          <w:bCs w:val="0"/>
          <w:kern w:val="0"/>
          <w:sz w:val="32"/>
          <w:szCs w:val="32"/>
          <w:lang w:eastAsia="zh-CN"/>
        </w:rPr>
        <w:t>四、</w:t>
      </w:r>
      <w:r>
        <w:rPr>
          <w:rFonts w:hint="eastAsia" w:eastAsia="仿宋_GB2312"/>
          <w:b/>
          <w:kern w:val="0"/>
          <w:sz w:val="32"/>
          <w:szCs w:val="32"/>
          <w:lang w:eastAsia="zh-CN"/>
        </w:rPr>
        <w:t>201</w:t>
      </w:r>
      <w:r>
        <w:rPr>
          <w:rFonts w:hint="eastAsia" w:eastAsia="仿宋_GB2312"/>
          <w:b/>
          <w:kern w:val="0"/>
          <w:sz w:val="32"/>
          <w:szCs w:val="32"/>
          <w:lang w:val="en-US" w:eastAsia="zh-CN"/>
        </w:rPr>
        <w:t>9</w:t>
      </w:r>
      <w:r>
        <w:rPr>
          <w:rFonts w:hint="eastAsia" w:ascii="仿宋_GB2312" w:eastAsia="仿宋_GB2312" w:cs="仿宋_GB2312"/>
          <w:b/>
          <w:kern w:val="0"/>
          <w:sz w:val="32"/>
          <w:szCs w:val="32"/>
        </w:rPr>
        <w:t>年度</w:t>
      </w:r>
      <w:r>
        <w:rPr>
          <w:rFonts w:hint="eastAsia" w:ascii="仿宋_GB2312" w:eastAsia="仿宋_GB2312" w:cs="仿宋_GB2312"/>
          <w:b/>
          <w:kern w:val="0"/>
          <w:sz w:val="32"/>
          <w:szCs w:val="32"/>
          <w:lang w:eastAsia="zh-CN"/>
        </w:rPr>
        <w:t>财政拨款收入支出决算情况</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本部门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年度财政拨款收、支总决算</w:t>
      </w:r>
      <w:r>
        <w:rPr>
          <w:rFonts w:hint="eastAsia" w:ascii="仿宋_GB2312" w:eastAsia="仿宋_GB2312" w:cs="仿宋_GB2312"/>
          <w:bCs/>
          <w:kern w:val="0"/>
          <w:sz w:val="32"/>
          <w:szCs w:val="32"/>
          <w:lang w:val="en-US" w:eastAsia="zh-CN"/>
        </w:rPr>
        <w:t>2266.77</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2103.72</w:t>
      </w:r>
      <w:r>
        <w:rPr>
          <w:rFonts w:hint="eastAsia" w:ascii="仿宋_GB2312" w:eastAsia="仿宋_GB2312" w:cs="仿宋_GB2312"/>
          <w:bCs/>
          <w:kern w:val="0"/>
          <w:sz w:val="32"/>
          <w:szCs w:val="32"/>
        </w:rPr>
        <w:t xml:space="preserve">万元。与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8</w:t>
      </w:r>
      <w:r>
        <w:rPr>
          <w:rFonts w:hint="eastAsia" w:ascii="仿宋_GB2312" w:eastAsia="仿宋_GB2312" w:cs="仿宋_GB2312"/>
          <w:bCs/>
          <w:kern w:val="0"/>
          <w:sz w:val="32"/>
          <w:szCs w:val="32"/>
        </w:rPr>
        <w:t xml:space="preserve"> 年相比，财政拨款收、支总计各增加</w:t>
      </w:r>
      <w:r>
        <w:rPr>
          <w:rFonts w:hint="eastAsia" w:ascii="仿宋_GB2312" w:eastAsia="仿宋_GB2312" w:cs="仿宋_GB2312"/>
          <w:bCs/>
          <w:kern w:val="0"/>
          <w:sz w:val="32"/>
          <w:szCs w:val="32"/>
          <w:lang w:val="en-US" w:eastAsia="zh-CN"/>
        </w:rPr>
        <w:t>522.46</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和</w:t>
      </w:r>
      <w:r>
        <w:rPr>
          <w:rFonts w:hint="eastAsia" w:ascii="仿宋_GB2312" w:eastAsia="仿宋_GB2312" w:cs="仿宋_GB2312"/>
          <w:bCs/>
          <w:kern w:val="0"/>
          <w:sz w:val="32"/>
          <w:szCs w:val="32"/>
          <w:lang w:val="en-US" w:eastAsia="zh-CN"/>
        </w:rPr>
        <w:t>524.98万元</w:t>
      </w:r>
      <w:r>
        <w:rPr>
          <w:rFonts w:hint="eastAsia" w:ascii="仿宋_GB2312" w:eastAsia="仿宋_GB2312" w:cs="仿宋_GB2312"/>
          <w:bCs/>
          <w:kern w:val="0"/>
          <w:sz w:val="32"/>
          <w:szCs w:val="32"/>
        </w:rPr>
        <w:t>，增长</w:t>
      </w:r>
      <w:r>
        <w:rPr>
          <w:rFonts w:hint="eastAsia" w:ascii="仿宋_GB2312" w:eastAsia="仿宋_GB2312" w:cs="仿宋_GB2312"/>
          <w:bCs/>
          <w:kern w:val="0"/>
          <w:sz w:val="32"/>
          <w:szCs w:val="32"/>
          <w:lang w:val="en-US" w:eastAsia="zh-CN"/>
        </w:rPr>
        <w:t>29.95</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和</w:t>
      </w:r>
      <w:r>
        <w:rPr>
          <w:rFonts w:hint="eastAsia" w:ascii="仿宋_GB2312" w:eastAsia="仿宋_GB2312" w:cs="仿宋_GB2312"/>
          <w:bCs/>
          <w:kern w:val="0"/>
          <w:sz w:val="32"/>
          <w:szCs w:val="32"/>
          <w:lang w:val="en-US" w:eastAsia="zh-CN"/>
        </w:rPr>
        <w:t>33.25%</w:t>
      </w:r>
      <w:r>
        <w:rPr>
          <w:rFonts w:hint="eastAsia" w:ascii="仿宋_GB2312" w:eastAsia="仿宋_GB2312" w:cs="仿宋_GB2312"/>
          <w:bCs/>
          <w:kern w:val="0"/>
          <w:sz w:val="32"/>
          <w:szCs w:val="32"/>
        </w:rPr>
        <w:t>。</w:t>
      </w:r>
    </w:p>
    <w:p>
      <w:pPr>
        <w:autoSpaceDE w:val="0"/>
        <w:autoSpaceDN w:val="0"/>
        <w:adjustRightInd w:val="0"/>
        <w:spacing w:line="560" w:lineRule="exact"/>
        <w:ind w:firstLine="643" w:firstLineChars="200"/>
        <w:jc w:val="left"/>
        <w:rPr>
          <w:rFonts w:hint="eastAsia" w:eastAsia="仿宋_GB2312"/>
          <w:b/>
          <w:kern w:val="0"/>
          <w:sz w:val="32"/>
          <w:szCs w:val="32"/>
        </w:rPr>
      </w:pPr>
      <w:r>
        <w:rPr>
          <w:rFonts w:hint="eastAsia" w:ascii="仿宋_GB2312" w:eastAsia="仿宋_GB2312" w:cs="仿宋_GB2312"/>
          <w:b/>
          <w:bCs w:val="0"/>
          <w:kern w:val="0"/>
          <w:sz w:val="32"/>
          <w:szCs w:val="32"/>
        </w:rPr>
        <w:t>五</w:t>
      </w:r>
      <w:r>
        <w:rPr>
          <w:rFonts w:hint="eastAsia" w:ascii="仿宋_GB2312" w:eastAsia="仿宋_GB2312" w:cs="仿宋_GB2312"/>
          <w:b/>
          <w:bCs w:val="0"/>
          <w:kern w:val="0"/>
          <w:sz w:val="32"/>
          <w:szCs w:val="32"/>
          <w:lang w:eastAsia="zh-CN"/>
        </w:rPr>
        <w:t>、</w:t>
      </w:r>
      <w:r>
        <w:rPr>
          <w:rFonts w:hint="eastAsia" w:eastAsia="仿宋_GB2312"/>
          <w:b/>
          <w:kern w:val="0"/>
          <w:sz w:val="32"/>
          <w:szCs w:val="32"/>
          <w:lang w:eastAsia="zh-CN"/>
        </w:rPr>
        <w:t>201</w:t>
      </w:r>
      <w:r>
        <w:rPr>
          <w:rFonts w:hint="eastAsia" w:eastAsia="仿宋_GB2312"/>
          <w:b/>
          <w:kern w:val="0"/>
          <w:sz w:val="32"/>
          <w:szCs w:val="32"/>
          <w:lang w:val="en-US" w:eastAsia="zh-CN"/>
        </w:rPr>
        <w:t>9</w:t>
      </w:r>
      <w:r>
        <w:rPr>
          <w:rFonts w:hint="eastAsia" w:eastAsia="仿宋_GB2312"/>
          <w:b/>
          <w:kern w:val="0"/>
          <w:sz w:val="32"/>
          <w:szCs w:val="32"/>
        </w:rPr>
        <w:t>年度一般公共预算财政拨款支出决算情况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部门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 xml:space="preserve">年度财政拨款支出 </w:t>
      </w:r>
      <w:r>
        <w:rPr>
          <w:rFonts w:hint="eastAsia" w:ascii="仿宋_GB2312" w:eastAsia="仿宋_GB2312" w:cs="仿宋_GB2312"/>
          <w:bCs/>
          <w:kern w:val="0"/>
          <w:sz w:val="32"/>
          <w:szCs w:val="32"/>
          <w:lang w:val="en-US" w:eastAsia="zh-CN"/>
        </w:rPr>
        <w:t>2103.72</w:t>
      </w:r>
      <w:r>
        <w:rPr>
          <w:rFonts w:hint="eastAsia" w:ascii="仿宋_GB2312" w:eastAsia="仿宋_GB2312" w:cs="仿宋_GB2312"/>
          <w:bCs/>
          <w:kern w:val="0"/>
          <w:sz w:val="32"/>
          <w:szCs w:val="32"/>
        </w:rPr>
        <w:t>万元，占本年支出合计的</w:t>
      </w:r>
      <w:r>
        <w:rPr>
          <w:rFonts w:hint="eastAsia" w:ascii="仿宋_GB2312" w:eastAsia="仿宋_GB2312" w:cs="仿宋_GB2312"/>
          <w:bCs/>
          <w:kern w:val="0"/>
          <w:sz w:val="32"/>
          <w:szCs w:val="32"/>
          <w:lang w:val="en-US" w:eastAsia="zh-CN"/>
        </w:rPr>
        <w:t>92.21</w:t>
      </w:r>
      <w:r>
        <w:rPr>
          <w:rFonts w:hint="eastAsia" w:ascii="仿宋_GB2312" w:eastAsia="仿宋_GB2312" w:cs="仿宋_GB2312"/>
          <w:bCs/>
          <w:kern w:val="0"/>
          <w:sz w:val="32"/>
          <w:szCs w:val="32"/>
        </w:rPr>
        <w:t xml:space="preserve">%。与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8</w:t>
      </w:r>
      <w:r>
        <w:rPr>
          <w:rFonts w:hint="eastAsia" w:ascii="仿宋_GB2312" w:eastAsia="仿宋_GB2312" w:cs="仿宋_GB2312"/>
          <w:bCs/>
          <w:kern w:val="0"/>
          <w:sz w:val="32"/>
          <w:szCs w:val="32"/>
        </w:rPr>
        <w:t xml:space="preserve"> 年相比，财政拨款支出</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524.98</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33.25</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（二）财政拨款支出决算结构情况（根据公开表格作表述）</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 xml:space="preserve"> 年度财政拨款支出 </w:t>
      </w:r>
      <w:r>
        <w:rPr>
          <w:rFonts w:hint="eastAsia" w:ascii="仿宋_GB2312" w:eastAsia="仿宋_GB2312" w:cs="仿宋_GB2312"/>
          <w:bCs/>
          <w:kern w:val="0"/>
          <w:sz w:val="32"/>
          <w:szCs w:val="32"/>
          <w:lang w:val="en-US" w:eastAsia="zh-CN"/>
        </w:rPr>
        <w:t>2103.72</w:t>
      </w:r>
      <w:r>
        <w:rPr>
          <w:rFonts w:hint="eastAsia" w:ascii="仿宋_GB2312" w:eastAsia="仿宋_GB2312" w:cs="仿宋_GB2312"/>
          <w:bCs/>
          <w:kern w:val="0"/>
          <w:sz w:val="32"/>
          <w:szCs w:val="32"/>
        </w:rPr>
        <w:t xml:space="preserve">万元，主要用于以下方面：一般公共服务（类）支出 </w:t>
      </w:r>
      <w:r>
        <w:rPr>
          <w:rFonts w:hint="eastAsia" w:ascii="仿宋_GB2312" w:eastAsia="仿宋_GB2312" w:cs="仿宋_GB2312"/>
          <w:bCs/>
          <w:kern w:val="0"/>
          <w:sz w:val="32"/>
          <w:szCs w:val="32"/>
          <w:lang w:val="en-US" w:eastAsia="zh-CN"/>
        </w:rPr>
        <w:t>1741.25</w:t>
      </w:r>
      <w:r>
        <w:rPr>
          <w:rFonts w:hint="eastAsia" w:ascii="仿宋_GB2312" w:eastAsia="仿宋_GB2312" w:cs="仿宋_GB2312"/>
          <w:bCs/>
          <w:kern w:val="0"/>
          <w:sz w:val="32"/>
          <w:szCs w:val="32"/>
        </w:rPr>
        <w:t>万元， 占</w:t>
      </w:r>
      <w:r>
        <w:rPr>
          <w:rFonts w:hint="eastAsia" w:ascii="仿宋_GB2312" w:eastAsia="仿宋_GB2312" w:cs="仿宋_GB2312"/>
          <w:bCs/>
          <w:kern w:val="0"/>
          <w:sz w:val="32"/>
          <w:szCs w:val="32"/>
          <w:lang w:val="en-US" w:eastAsia="zh-CN"/>
        </w:rPr>
        <w:t>82.77</w:t>
      </w:r>
      <w:r>
        <w:rPr>
          <w:rFonts w:hint="eastAsia" w:ascii="仿宋_GB2312" w:eastAsia="仿宋_GB2312" w:cs="仿宋_GB2312"/>
          <w:bCs/>
          <w:kern w:val="0"/>
          <w:sz w:val="32"/>
          <w:szCs w:val="32"/>
        </w:rPr>
        <w:t>%； 社会保障和就业（类）</w:t>
      </w:r>
      <w:r>
        <w:rPr>
          <w:rFonts w:hint="eastAsia" w:ascii="仿宋_GB2312" w:eastAsia="仿宋_GB2312" w:cs="仿宋_GB2312"/>
          <w:bCs/>
          <w:kern w:val="0"/>
          <w:sz w:val="32"/>
          <w:szCs w:val="32"/>
          <w:lang w:eastAsia="zh-CN"/>
        </w:rPr>
        <w:t>支出</w:t>
      </w:r>
      <w:r>
        <w:rPr>
          <w:rFonts w:hint="eastAsia" w:ascii="仿宋_GB2312" w:eastAsia="仿宋_GB2312" w:cs="仿宋_GB2312"/>
          <w:bCs/>
          <w:kern w:val="0"/>
          <w:sz w:val="32"/>
          <w:szCs w:val="32"/>
          <w:lang w:val="en-US" w:eastAsia="zh-CN"/>
        </w:rPr>
        <w:t>198.49</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9.43</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卫生健康（类）</w:t>
      </w:r>
      <w:r>
        <w:rPr>
          <w:rFonts w:hint="eastAsia" w:ascii="仿宋_GB2312" w:eastAsia="仿宋_GB2312" w:cs="仿宋_GB2312"/>
          <w:bCs/>
          <w:kern w:val="0"/>
          <w:sz w:val="32"/>
          <w:szCs w:val="32"/>
        </w:rPr>
        <w:t>支出</w:t>
      </w:r>
      <w:r>
        <w:rPr>
          <w:rFonts w:hint="eastAsia" w:ascii="仿宋_GB2312" w:eastAsia="仿宋_GB2312" w:cs="仿宋_GB2312"/>
          <w:bCs/>
          <w:kern w:val="0"/>
          <w:sz w:val="32"/>
          <w:szCs w:val="32"/>
          <w:lang w:val="en-US" w:eastAsia="zh-CN"/>
        </w:rPr>
        <w:t>61.98</w:t>
      </w:r>
      <w:r>
        <w:rPr>
          <w:rFonts w:hint="eastAsia" w:ascii="仿宋_GB2312" w:eastAsia="仿宋_GB2312" w:cs="仿宋_GB2312"/>
          <w:bCs/>
          <w:kern w:val="0"/>
          <w:sz w:val="32"/>
          <w:szCs w:val="32"/>
        </w:rPr>
        <w:t xml:space="preserve"> 万元，占 </w:t>
      </w:r>
      <w:r>
        <w:rPr>
          <w:rFonts w:hint="eastAsia" w:ascii="仿宋_GB2312" w:eastAsia="仿宋_GB2312" w:cs="仿宋_GB2312"/>
          <w:bCs/>
          <w:kern w:val="0"/>
          <w:sz w:val="32"/>
          <w:szCs w:val="32"/>
          <w:lang w:val="en-US" w:eastAsia="zh-CN"/>
        </w:rPr>
        <w:t>2.95</w:t>
      </w:r>
      <w:r>
        <w:rPr>
          <w:rFonts w:hint="eastAsia" w:ascii="仿宋_GB2312" w:eastAsia="仿宋_GB2312" w:cs="仿宋_GB2312"/>
          <w:bCs/>
          <w:kern w:val="0"/>
          <w:sz w:val="32"/>
          <w:szCs w:val="32"/>
        </w:rPr>
        <w:t>%； 住房保障（类）支出</w:t>
      </w:r>
      <w:r>
        <w:rPr>
          <w:rFonts w:hint="eastAsia" w:ascii="仿宋_GB2312" w:eastAsia="仿宋_GB2312" w:cs="仿宋_GB2312"/>
          <w:bCs/>
          <w:kern w:val="0"/>
          <w:sz w:val="32"/>
          <w:szCs w:val="32"/>
          <w:lang w:val="en-US" w:eastAsia="zh-CN"/>
        </w:rPr>
        <w:t>101.99</w:t>
      </w:r>
      <w:r>
        <w:rPr>
          <w:rFonts w:hint="eastAsia" w:ascii="仿宋_GB2312" w:eastAsia="仿宋_GB2312" w:cs="仿宋_GB2312"/>
          <w:bCs/>
          <w:kern w:val="0"/>
          <w:sz w:val="32"/>
          <w:szCs w:val="32"/>
        </w:rPr>
        <w:t xml:space="preserve">万元，占 </w:t>
      </w:r>
      <w:r>
        <w:rPr>
          <w:rFonts w:hint="eastAsia" w:ascii="仿宋_GB2312" w:eastAsia="仿宋_GB2312" w:cs="仿宋_GB2312"/>
          <w:bCs/>
          <w:kern w:val="0"/>
          <w:sz w:val="32"/>
          <w:szCs w:val="32"/>
          <w:lang w:val="en-US" w:eastAsia="zh-CN"/>
        </w:rPr>
        <w:t>4.85</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 xml:space="preserve"> 年度财政拨款支出年初预算为</w:t>
      </w:r>
      <w:r>
        <w:rPr>
          <w:rFonts w:hint="eastAsia" w:ascii="仿宋_GB2312" w:eastAsia="仿宋_GB2312" w:cs="仿宋_GB2312"/>
          <w:bCs/>
          <w:kern w:val="0"/>
          <w:sz w:val="32"/>
          <w:szCs w:val="32"/>
          <w:lang w:val="en-US" w:eastAsia="zh-CN"/>
        </w:rPr>
        <w:t>1957.15</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2103.72</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107.49</w:t>
      </w:r>
      <w:r>
        <w:rPr>
          <w:rFonts w:hint="eastAsia" w:ascii="仿宋_GB2312" w:eastAsia="仿宋_GB2312" w:cs="仿宋_GB2312"/>
          <w:bCs/>
          <w:kern w:val="0"/>
          <w:sz w:val="32"/>
          <w:szCs w:val="32"/>
        </w:rPr>
        <w:t>%。决算数大于预算数的主要原因：一是年中追加安排财政拨款支出预算，涉及项目有</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下达2019年非棉纤维公证检验经费</w:t>
      </w:r>
      <w:r>
        <w:rPr>
          <w:rFonts w:hint="eastAsia" w:ascii="仿宋_GB2312" w:eastAsia="仿宋_GB2312" w:cs="仿宋_GB2312"/>
          <w:bCs/>
          <w:kern w:val="0"/>
          <w:sz w:val="32"/>
          <w:szCs w:val="32"/>
          <w:lang w:val="en-US" w:eastAsia="zh-CN"/>
        </w:rPr>
        <w:t>；2、绩效工资总量补差；3、人员变动经费</w:t>
      </w:r>
      <w:r>
        <w:rPr>
          <w:rFonts w:hint="eastAsia" w:ascii="仿宋_GB2312" w:eastAsia="仿宋_GB2312" w:cs="仿宋_GB2312"/>
          <w:bCs/>
          <w:kern w:val="0"/>
          <w:sz w:val="32"/>
          <w:szCs w:val="32"/>
        </w:rPr>
        <w:t xml:space="preserve">；二是部分支出按规定，通过使用以前年度财政拨款结转资金解决。其中：（根据公开表格作表述，有则表述）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1.一般公共服务（类）</w:t>
      </w:r>
      <w:r>
        <w:rPr>
          <w:rFonts w:hint="eastAsia" w:ascii="仿宋_GB2312" w:eastAsia="仿宋_GB2312" w:cs="仿宋_GB2312"/>
          <w:bCs/>
          <w:kern w:val="0"/>
          <w:sz w:val="32"/>
          <w:szCs w:val="32"/>
          <w:lang w:eastAsia="zh-CN"/>
        </w:rPr>
        <w:t>市场监督管理事务</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市场监督管理专项</w:t>
      </w:r>
      <w:r>
        <w:rPr>
          <w:rFonts w:hint="eastAsia" w:ascii="仿宋_GB2312" w:eastAsia="仿宋_GB2312" w:cs="仿宋_GB2312"/>
          <w:bCs/>
          <w:kern w:val="0"/>
          <w:sz w:val="32"/>
          <w:szCs w:val="32"/>
        </w:rPr>
        <w:t>（项）。 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18.17</w:t>
      </w:r>
      <w:r>
        <w:rPr>
          <w:rFonts w:hint="eastAsia" w:ascii="仿宋_GB2312" w:eastAsia="仿宋_GB2312" w:cs="仿宋_GB2312"/>
          <w:bCs/>
          <w:kern w:val="0"/>
          <w:sz w:val="32"/>
          <w:szCs w:val="32"/>
        </w:rPr>
        <w:t>万元，完 成年初预算的</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下达2019年非棉纤维公证检验经费</w:t>
      </w:r>
      <w:r>
        <w:rPr>
          <w:rFonts w:hint="eastAsia" w:ascii="仿宋_GB2312" w:eastAsia="仿宋_GB2312" w:cs="仿宋_GB2312"/>
          <w:bCs/>
          <w:kern w:val="0"/>
          <w:sz w:val="32"/>
          <w:szCs w:val="32"/>
          <w:lang w:val="en-US" w:eastAsia="zh-CN"/>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2.一般公共服务（类）</w:t>
      </w:r>
      <w:r>
        <w:rPr>
          <w:rFonts w:hint="eastAsia" w:ascii="仿宋_GB2312" w:eastAsia="仿宋_GB2312" w:cs="仿宋_GB2312"/>
          <w:bCs/>
          <w:kern w:val="0"/>
          <w:sz w:val="32"/>
          <w:szCs w:val="32"/>
          <w:lang w:eastAsia="zh-CN"/>
        </w:rPr>
        <w:t>市场监督管理事务</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市场监督管理技术支持</w:t>
      </w:r>
      <w:r>
        <w:rPr>
          <w:rFonts w:hint="eastAsia" w:ascii="仿宋_GB2312" w:eastAsia="仿宋_GB2312" w:cs="仿宋_GB2312"/>
          <w:bCs/>
          <w:kern w:val="0"/>
          <w:sz w:val="32"/>
          <w:szCs w:val="32"/>
        </w:rPr>
        <w:t xml:space="preserve">（项）。年初预算为 </w:t>
      </w:r>
      <w:r>
        <w:rPr>
          <w:rFonts w:hint="eastAsia" w:ascii="仿宋_GB2312" w:eastAsia="仿宋_GB2312" w:cs="仿宋_GB2312"/>
          <w:bCs/>
          <w:kern w:val="0"/>
          <w:sz w:val="32"/>
          <w:szCs w:val="32"/>
          <w:lang w:val="en-US" w:eastAsia="zh-CN"/>
        </w:rPr>
        <w:t>410.29</w:t>
      </w:r>
      <w:r>
        <w:rPr>
          <w:rFonts w:hint="eastAsia" w:ascii="仿宋_GB2312" w:eastAsia="仿宋_GB2312" w:cs="仿宋_GB2312"/>
          <w:bCs/>
          <w:kern w:val="0"/>
          <w:sz w:val="32"/>
          <w:szCs w:val="32"/>
        </w:rPr>
        <w:t xml:space="preserve">万元，支出决算为 </w:t>
      </w:r>
      <w:r>
        <w:rPr>
          <w:rFonts w:hint="eastAsia" w:ascii="仿宋_GB2312" w:eastAsia="仿宋_GB2312" w:cs="仿宋_GB2312"/>
          <w:bCs/>
          <w:kern w:val="0"/>
          <w:sz w:val="32"/>
          <w:szCs w:val="32"/>
          <w:lang w:val="en-US" w:eastAsia="zh-CN"/>
        </w:rPr>
        <w:t>314.71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76.7</w:t>
      </w:r>
      <w:r>
        <w:rPr>
          <w:rFonts w:hint="eastAsia" w:ascii="仿宋_GB2312" w:eastAsia="仿宋_GB2312" w:cs="仿宋_GB2312"/>
          <w:bCs/>
          <w:kern w:val="0"/>
          <w:sz w:val="32"/>
          <w:szCs w:val="32"/>
        </w:rPr>
        <w:t>%。决算数小于预算数的主要原因是</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 xml:space="preserve">压减2019年部门预算一般性支出。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3.一般公共服务（类）</w:t>
      </w:r>
      <w:r>
        <w:rPr>
          <w:rFonts w:hint="eastAsia" w:ascii="仿宋_GB2312" w:eastAsia="仿宋_GB2312" w:cs="仿宋_GB2312"/>
          <w:bCs/>
          <w:kern w:val="0"/>
          <w:sz w:val="32"/>
          <w:szCs w:val="32"/>
          <w:lang w:eastAsia="zh-CN"/>
        </w:rPr>
        <w:t>市场监督管理事务</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标准化管理</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13.2</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13.2</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%。决算数小于预算数的主要原因是</w:t>
      </w:r>
      <w:r>
        <w:rPr>
          <w:rFonts w:hint="eastAsia" w:ascii="仿宋_GB2312" w:eastAsia="仿宋_GB2312" w:cs="仿宋_GB2312"/>
          <w:bCs/>
          <w:kern w:val="0"/>
          <w:sz w:val="32"/>
          <w:szCs w:val="32"/>
          <w:lang w:eastAsia="zh-CN"/>
        </w:rPr>
        <w:t>：无</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4</w:t>
      </w:r>
      <w:r>
        <w:rPr>
          <w:rFonts w:hint="eastAsia" w:ascii="仿宋_GB2312" w:eastAsia="仿宋_GB2312" w:cs="仿宋_GB2312"/>
          <w:bCs/>
          <w:kern w:val="0"/>
          <w:sz w:val="32"/>
          <w:szCs w:val="32"/>
        </w:rPr>
        <w:t>.一般公共服务（类）</w:t>
      </w:r>
      <w:r>
        <w:rPr>
          <w:rFonts w:hint="eastAsia" w:ascii="仿宋_GB2312" w:eastAsia="仿宋_GB2312" w:cs="仿宋_GB2312"/>
          <w:bCs/>
          <w:kern w:val="0"/>
          <w:sz w:val="32"/>
          <w:szCs w:val="32"/>
          <w:lang w:eastAsia="zh-CN"/>
        </w:rPr>
        <w:t>市场监督管理事务</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事业运行</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956.47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1223.39</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127.91</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大</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1、绩效工资总量补差；2、人员变动经费</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5</w:t>
      </w:r>
      <w:r>
        <w:rPr>
          <w:rFonts w:hint="eastAsia" w:ascii="仿宋_GB2312" w:eastAsia="仿宋_GB2312" w:cs="仿宋_GB2312"/>
          <w:bCs/>
          <w:kern w:val="0"/>
          <w:sz w:val="32"/>
          <w:szCs w:val="32"/>
        </w:rPr>
        <w:t>.一般公共服务（类）</w:t>
      </w:r>
      <w:r>
        <w:rPr>
          <w:rFonts w:hint="eastAsia" w:ascii="仿宋_GB2312" w:eastAsia="仿宋_GB2312" w:cs="仿宋_GB2312"/>
          <w:bCs/>
          <w:kern w:val="0"/>
          <w:sz w:val="32"/>
          <w:szCs w:val="32"/>
          <w:lang w:eastAsia="zh-CN"/>
        </w:rPr>
        <w:t>市场监督管理事务</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其他市场监督管理事务</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224.75</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171.77</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76.43</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小</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劳务派遣人员辞职，经费结转</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6</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社会保障和就业支出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行政事业单位离退休</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事业单位离退休</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41.98</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42.62</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101.52</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大</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有职工退休</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7</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社会保障和就业支出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行政事业单位离退休</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机关事业单位基本养老保险缴费支出</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156.89</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145.1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92.48</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小</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社保调低养老保险缴费比例</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8</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社会保障和就业支出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抚恤</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死亡抚恤</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10.77</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大</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有职工离世</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卫生健康支出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行政事业单位医疗</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事业单位医疗</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59.43</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63.27</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106.46</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大</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：新进编</w:t>
      </w:r>
      <w:r>
        <w:rPr>
          <w:rFonts w:hint="eastAsia" w:ascii="仿宋_GB2312" w:eastAsia="仿宋_GB2312" w:cs="仿宋_GB2312"/>
          <w:bCs/>
          <w:kern w:val="0"/>
          <w:sz w:val="32"/>
          <w:szCs w:val="32"/>
          <w:lang w:val="en-US" w:eastAsia="zh-CN"/>
        </w:rPr>
        <w:t>2人</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10</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住房保障支出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住房改革支出</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住房公积金</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94.14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101.99</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108.34</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大</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：新进编</w:t>
      </w:r>
      <w:r>
        <w:rPr>
          <w:rFonts w:hint="eastAsia" w:ascii="仿宋_GB2312" w:eastAsia="仿宋_GB2312" w:cs="仿宋_GB2312"/>
          <w:bCs/>
          <w:kern w:val="0"/>
          <w:sz w:val="32"/>
          <w:szCs w:val="32"/>
          <w:lang w:val="en-US" w:eastAsia="zh-CN"/>
        </w:rPr>
        <w:t>2人</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
          <w:bCs w:val="0"/>
          <w:kern w:val="0"/>
          <w:sz w:val="32"/>
          <w:szCs w:val="32"/>
          <w:lang w:eastAsia="zh-CN"/>
        </w:rPr>
      </w:pPr>
      <w:r>
        <w:rPr>
          <w:rFonts w:hint="eastAsia" w:ascii="仿宋_GB2312" w:eastAsia="仿宋_GB2312" w:cs="仿宋_GB2312"/>
          <w:bCs/>
          <w:kern w:val="0"/>
          <w:sz w:val="32"/>
          <w:szCs w:val="32"/>
        </w:rPr>
        <w:t>六、</w:t>
      </w:r>
      <w:r>
        <w:rPr>
          <w:rFonts w:hint="eastAsia" w:ascii="仿宋_GB2312" w:eastAsia="仿宋_GB2312" w:cs="仿宋_GB2312"/>
          <w:b/>
          <w:bCs w:val="0"/>
          <w:kern w:val="0"/>
          <w:sz w:val="32"/>
          <w:szCs w:val="32"/>
          <w:lang w:eastAsia="zh-CN"/>
        </w:rPr>
        <w:t>201</w:t>
      </w:r>
      <w:r>
        <w:rPr>
          <w:rFonts w:hint="eastAsia" w:ascii="仿宋_GB2312" w:eastAsia="仿宋_GB2312" w:cs="仿宋_GB2312"/>
          <w:b/>
          <w:bCs w:val="0"/>
          <w:kern w:val="0"/>
          <w:sz w:val="32"/>
          <w:szCs w:val="32"/>
          <w:lang w:val="en-US" w:eastAsia="zh-CN"/>
        </w:rPr>
        <w:t>9</w:t>
      </w:r>
      <w:r>
        <w:rPr>
          <w:rFonts w:hint="eastAsia" w:ascii="仿宋_GB2312" w:eastAsia="仿宋_GB2312" w:cs="仿宋_GB2312"/>
          <w:b/>
          <w:bCs w:val="0"/>
          <w:kern w:val="0"/>
          <w:sz w:val="32"/>
          <w:szCs w:val="32"/>
        </w:rPr>
        <w:t>年度一般公共预算财政拨款基本支出决算情况（根据实际情况作表述 </w:t>
      </w:r>
      <w:r>
        <w:rPr>
          <w:rFonts w:hint="eastAsia" w:ascii="仿宋_GB2312" w:eastAsia="仿宋_GB2312" w:cs="仿宋_GB2312"/>
          <w:b/>
          <w:bCs w:val="0"/>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rPr>
      </w:pPr>
      <w:r>
        <w:rPr>
          <w:rFonts w:hint="eastAsia" w:ascii="仿宋_GB2312" w:eastAsia="仿宋_GB2312" w:cs="仿宋_GB2312"/>
          <w:b w:val="0"/>
          <w:bCs/>
          <w:kern w:val="0"/>
          <w:sz w:val="32"/>
          <w:szCs w:val="32"/>
          <w:lang w:eastAsia="zh-CN"/>
        </w:rPr>
        <w:t>201</w:t>
      </w:r>
      <w:r>
        <w:rPr>
          <w:rFonts w:hint="eastAsia" w:ascii="仿宋_GB2312" w:eastAsia="仿宋_GB2312" w:cs="仿宋_GB2312"/>
          <w:b w:val="0"/>
          <w:bCs/>
          <w:kern w:val="0"/>
          <w:sz w:val="32"/>
          <w:szCs w:val="32"/>
          <w:lang w:val="en-US" w:eastAsia="zh-CN"/>
        </w:rPr>
        <w:t>9</w:t>
      </w:r>
      <w:r>
        <w:rPr>
          <w:rFonts w:hint="eastAsia" w:ascii="仿宋_GB2312" w:eastAsia="仿宋_GB2312" w:cs="仿宋_GB2312"/>
          <w:b w:val="0"/>
          <w:bCs/>
          <w:kern w:val="0"/>
          <w:sz w:val="32"/>
          <w:szCs w:val="32"/>
        </w:rPr>
        <w:t>年度财政拨款基本支出</w:t>
      </w:r>
      <w:r>
        <w:rPr>
          <w:rFonts w:hint="eastAsia" w:ascii="仿宋_GB2312" w:eastAsia="仿宋_GB2312" w:cs="仿宋_GB2312"/>
          <w:b w:val="0"/>
          <w:bCs/>
          <w:kern w:val="0"/>
          <w:sz w:val="32"/>
          <w:szCs w:val="32"/>
          <w:lang w:val="en-US" w:eastAsia="zh-CN"/>
        </w:rPr>
        <w:t>1585.86</w:t>
      </w:r>
      <w:r>
        <w:rPr>
          <w:rFonts w:hint="eastAsia" w:ascii="仿宋_GB2312" w:eastAsia="仿宋_GB2312" w:cs="仿宋_GB2312"/>
          <w:b w:val="0"/>
          <w:bCs/>
          <w:kern w:val="0"/>
          <w:sz w:val="32"/>
          <w:szCs w:val="32"/>
        </w:rPr>
        <w:t>万元，其中：</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rPr>
      </w:pPr>
      <w:r>
        <w:rPr>
          <w:rFonts w:hint="eastAsia" w:ascii="仿宋_GB2312" w:eastAsia="仿宋_GB2312" w:cs="仿宋_GB2312"/>
          <w:b w:val="0"/>
          <w:bCs/>
          <w:kern w:val="0"/>
          <w:sz w:val="32"/>
          <w:szCs w:val="32"/>
        </w:rPr>
        <w:t xml:space="preserve"> 人员经费</w:t>
      </w:r>
      <w:r>
        <w:rPr>
          <w:rFonts w:hint="eastAsia" w:ascii="仿宋_GB2312" w:eastAsia="仿宋_GB2312" w:cs="仿宋_GB2312"/>
          <w:b w:val="0"/>
          <w:bCs/>
          <w:kern w:val="0"/>
          <w:sz w:val="32"/>
          <w:szCs w:val="32"/>
          <w:lang w:val="en-US" w:eastAsia="zh-CN"/>
        </w:rPr>
        <w:t>1412.47</w:t>
      </w:r>
      <w:r>
        <w:rPr>
          <w:rFonts w:hint="eastAsia" w:ascii="仿宋_GB2312" w:eastAsia="仿宋_GB2312" w:cs="仿宋_GB2312"/>
          <w:b w:val="0"/>
          <w:bCs/>
          <w:kern w:val="0"/>
          <w:sz w:val="32"/>
          <w:szCs w:val="32"/>
        </w:rPr>
        <w:t>万元，主要包括：基本工资、津贴补贴、 奖金、绩效工资、机关事业单位基本养老保险缴费、其他社会保障缴费、</w:t>
      </w:r>
      <w:r>
        <w:rPr>
          <w:rFonts w:hint="eastAsia" w:ascii="仿宋_GB2312" w:eastAsia="仿宋_GB2312" w:cs="仿宋_GB2312"/>
          <w:b w:val="0"/>
          <w:bCs/>
          <w:kern w:val="0"/>
          <w:sz w:val="32"/>
          <w:szCs w:val="32"/>
          <w:lang w:eastAsia="zh-CN"/>
        </w:rPr>
        <w:t>职工基本医疗保障缴费</w:t>
      </w:r>
      <w:r>
        <w:rPr>
          <w:rFonts w:hint="eastAsia" w:ascii="仿宋_GB2312" w:eastAsia="仿宋_GB2312" w:cs="仿宋_GB2312"/>
          <w:b w:val="0"/>
          <w:bCs/>
          <w:kern w:val="0"/>
          <w:sz w:val="32"/>
          <w:szCs w:val="32"/>
        </w:rPr>
        <w:t>、 退休费、抚恤金、住房公积金；</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lang w:eastAsia="zh-CN"/>
        </w:rPr>
      </w:pPr>
      <w:r>
        <w:rPr>
          <w:rFonts w:hint="eastAsia" w:ascii="仿宋_GB2312" w:eastAsia="仿宋_GB2312" w:cs="仿宋_GB2312"/>
          <w:b w:val="0"/>
          <w:bCs/>
          <w:kern w:val="0"/>
          <w:sz w:val="32"/>
          <w:szCs w:val="32"/>
        </w:rPr>
        <w:t>公用经费</w:t>
      </w:r>
      <w:r>
        <w:rPr>
          <w:rFonts w:hint="eastAsia" w:ascii="仿宋_GB2312" w:eastAsia="仿宋_GB2312" w:cs="仿宋_GB2312"/>
          <w:b w:val="0"/>
          <w:bCs/>
          <w:kern w:val="0"/>
          <w:sz w:val="32"/>
          <w:szCs w:val="32"/>
          <w:lang w:val="en-US" w:eastAsia="zh-CN"/>
        </w:rPr>
        <w:t>173.39</w:t>
      </w:r>
      <w:r>
        <w:rPr>
          <w:rFonts w:hint="eastAsia" w:ascii="仿宋_GB2312" w:eastAsia="仿宋_GB2312" w:cs="仿宋_GB2312"/>
          <w:b w:val="0"/>
          <w:bCs/>
          <w:kern w:val="0"/>
          <w:sz w:val="32"/>
          <w:szCs w:val="32"/>
        </w:rPr>
        <w:t>万元，主要 包括：办公费、印刷费、水费、电费、邮电费、物业管理费、差旅费、维修（护）费、培训费、公务接待费、专用材料费、工会经费、公务用车运行维护费、其他商品和服务支出</w:t>
      </w:r>
      <w:r>
        <w:rPr>
          <w:rFonts w:hint="eastAsia" w:ascii="仿宋_GB2312" w:eastAsia="仿宋_GB2312" w:cs="仿宋_GB2312"/>
          <w:b w:val="0"/>
          <w:bCs/>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七、</w:t>
      </w:r>
      <w:r>
        <w:rPr>
          <w:rFonts w:hint="eastAsia" w:ascii="仿宋_GB2312" w:eastAsia="仿宋_GB2312" w:cs="仿宋_GB2312"/>
          <w:b/>
          <w:bCs w:val="0"/>
          <w:kern w:val="0"/>
          <w:sz w:val="32"/>
          <w:szCs w:val="32"/>
          <w:lang w:eastAsia="zh-CN"/>
        </w:rPr>
        <w:t>201</w:t>
      </w:r>
      <w:r>
        <w:rPr>
          <w:rFonts w:hint="eastAsia" w:ascii="仿宋_GB2312" w:eastAsia="仿宋_GB2312" w:cs="仿宋_GB2312"/>
          <w:b/>
          <w:bCs w:val="0"/>
          <w:kern w:val="0"/>
          <w:sz w:val="32"/>
          <w:szCs w:val="32"/>
          <w:lang w:val="en-US" w:eastAsia="zh-CN"/>
        </w:rPr>
        <w:t>9</w:t>
      </w:r>
      <w:r>
        <w:rPr>
          <w:rFonts w:hint="eastAsia" w:ascii="仿宋_GB2312" w:eastAsia="仿宋_GB2312" w:cs="仿宋_GB2312"/>
          <w:b/>
          <w:bCs w:val="0"/>
          <w:kern w:val="0"/>
          <w:sz w:val="32"/>
          <w:szCs w:val="32"/>
        </w:rPr>
        <w:t xml:space="preserve"> 年度一般公共预算财政拨款“三公” 经费支出决算情况</w:t>
      </w:r>
      <w:r>
        <w:rPr>
          <w:rFonts w:hint="eastAsia" w:ascii="仿宋_GB2312" w:eastAsia="仿宋_GB2312" w:cs="仿宋_GB2312"/>
          <w:bCs/>
          <w:kern w:val="0"/>
          <w:sz w:val="32"/>
          <w:szCs w:val="32"/>
        </w:rPr>
        <w:t xml:space="preserve"> （根据实际情况作表述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 xml:space="preserve"> 年度“三公”经费财政拨款支出预算为</w:t>
      </w:r>
      <w:r>
        <w:rPr>
          <w:rFonts w:hint="eastAsia" w:ascii="仿宋_GB2312" w:eastAsia="仿宋_GB2312" w:cs="仿宋_GB2312"/>
          <w:bCs/>
          <w:kern w:val="0"/>
          <w:sz w:val="32"/>
          <w:szCs w:val="32"/>
          <w:lang w:val="en-US" w:eastAsia="zh-CN"/>
        </w:rPr>
        <w:t>27.04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25.28</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93.49</w:t>
      </w:r>
      <w:r>
        <w:rPr>
          <w:rFonts w:hint="eastAsia" w:ascii="仿宋_GB2312" w:eastAsia="仿宋_GB2312" w:cs="仿宋_GB2312"/>
          <w:bCs/>
          <w:kern w:val="0"/>
          <w:sz w:val="32"/>
          <w:szCs w:val="32"/>
        </w:rPr>
        <w:t>%，其中：因公出国（境）费支出决算为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%；公务用车购置及运行费支出决算为</w:t>
      </w:r>
      <w:r>
        <w:rPr>
          <w:rFonts w:hint="eastAsia" w:ascii="仿宋_GB2312" w:eastAsia="仿宋_GB2312" w:cs="仿宋_GB2312"/>
          <w:bCs/>
          <w:kern w:val="0"/>
          <w:sz w:val="32"/>
          <w:szCs w:val="32"/>
          <w:lang w:val="en-US" w:eastAsia="zh-CN"/>
        </w:rPr>
        <w:t>23.72</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98.3</w:t>
      </w:r>
      <w:r>
        <w:rPr>
          <w:rFonts w:hint="eastAsia" w:ascii="仿宋_GB2312" w:eastAsia="仿宋_GB2312" w:cs="仿宋_GB2312"/>
          <w:bCs/>
          <w:kern w:val="0"/>
          <w:sz w:val="32"/>
          <w:szCs w:val="32"/>
        </w:rPr>
        <w:t>%；公务接待费支出决算为</w:t>
      </w:r>
      <w:r>
        <w:rPr>
          <w:rFonts w:hint="eastAsia" w:ascii="仿宋_GB2312" w:eastAsia="仿宋_GB2312" w:cs="仿宋_GB2312"/>
          <w:bCs/>
          <w:kern w:val="0"/>
          <w:sz w:val="32"/>
          <w:szCs w:val="32"/>
          <w:lang w:val="en-US" w:eastAsia="zh-CN"/>
        </w:rPr>
        <w:t>1.56</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53.61</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年度“三公”经费支出决算数小于预算数的主要原因是认真贯彻落实中央“八项规定”精神和厉行节约要求，进一步从严控制“三公”经费开支，全年实际支出比预算有所节约（根据实际情况作原因陈述）</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年度“三公”经费财政拨款支出决算数比</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8</w:t>
      </w:r>
      <w:r>
        <w:rPr>
          <w:rFonts w:hint="eastAsia" w:ascii="仿宋_GB2312" w:eastAsia="仿宋_GB2312" w:cs="仿宋_GB2312"/>
          <w:bCs/>
          <w:kern w:val="0"/>
          <w:sz w:val="32"/>
          <w:szCs w:val="32"/>
        </w:rPr>
        <w:t>年减少</w:t>
      </w:r>
      <w:r>
        <w:rPr>
          <w:rFonts w:hint="eastAsia" w:ascii="仿宋_GB2312" w:eastAsia="仿宋_GB2312" w:cs="仿宋_GB2312"/>
          <w:bCs/>
          <w:kern w:val="0"/>
          <w:sz w:val="32"/>
          <w:szCs w:val="32"/>
          <w:lang w:val="en-US" w:eastAsia="zh-CN"/>
        </w:rPr>
        <w:t>0.19</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0.74</w:t>
      </w:r>
      <w:r>
        <w:rPr>
          <w:rFonts w:hint="eastAsia" w:ascii="仿宋_GB2312" w:eastAsia="仿宋_GB2312" w:cs="仿宋_GB2312"/>
          <w:bCs/>
          <w:kern w:val="0"/>
          <w:sz w:val="32"/>
          <w:szCs w:val="32"/>
        </w:rPr>
        <w:t>%，其中：因公出国（境）费支出决算减少</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%；公务用车购置及运行费支出决算减少</w:t>
      </w:r>
      <w:r>
        <w:rPr>
          <w:rFonts w:hint="eastAsia" w:ascii="仿宋_GB2312" w:eastAsia="仿宋_GB2312" w:cs="仿宋_GB2312"/>
          <w:bCs/>
          <w:kern w:val="0"/>
          <w:sz w:val="32"/>
          <w:szCs w:val="32"/>
          <w:lang w:val="en-US" w:eastAsia="zh-CN"/>
        </w:rPr>
        <w:t>0.35</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1.45</w:t>
      </w:r>
      <w:r>
        <w:rPr>
          <w:rFonts w:hint="eastAsia" w:ascii="仿宋_GB2312" w:eastAsia="仿宋_GB2312" w:cs="仿宋_GB2312"/>
          <w:bCs/>
          <w:kern w:val="0"/>
          <w:sz w:val="32"/>
          <w:szCs w:val="32"/>
        </w:rPr>
        <w:t>%；公务接待费支出决算</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0.15</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10.64</w:t>
      </w:r>
      <w:r>
        <w:rPr>
          <w:rFonts w:hint="eastAsia" w:ascii="仿宋_GB2312" w:eastAsia="仿宋_GB2312" w:cs="仿宋_GB2312"/>
          <w:bCs/>
          <w:kern w:val="0"/>
          <w:sz w:val="32"/>
          <w:szCs w:val="32"/>
        </w:rPr>
        <w:t>%。</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lang w:eastAsia="zh-CN"/>
        </w:rPr>
        <w:t>公</w:t>
      </w:r>
      <w:r>
        <w:rPr>
          <w:rFonts w:hint="eastAsia" w:ascii="仿宋_GB2312" w:eastAsia="仿宋_GB2312" w:cs="仿宋_GB2312"/>
          <w:bCs/>
          <w:kern w:val="0"/>
          <w:sz w:val="32"/>
          <w:szCs w:val="32"/>
        </w:rPr>
        <w:t>务用车购置及运行费支出减少的主要原因是认真贯彻落实中央“八项规定”精神和厉行节约要求；公务接待费支出</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rPr>
        <w:t>的主要原因是</w:t>
      </w:r>
      <w:r>
        <w:rPr>
          <w:rFonts w:hint="eastAsia" w:ascii="仿宋_GB2312" w:eastAsia="仿宋_GB2312" w:cs="仿宋_GB2312"/>
          <w:bCs/>
          <w:kern w:val="0"/>
          <w:sz w:val="32"/>
          <w:szCs w:val="32"/>
          <w:lang w:eastAsia="zh-CN"/>
        </w:rPr>
        <w:t>来我所学习考察单位增加</w:t>
      </w:r>
      <w:r>
        <w:rPr>
          <w:rFonts w:hint="eastAsia" w:ascii="仿宋_GB2312" w:eastAsia="仿宋_GB2312" w:cs="仿宋_GB2312"/>
          <w:bCs/>
          <w:kern w:val="0"/>
          <w:sz w:val="32"/>
          <w:szCs w:val="32"/>
        </w:rPr>
        <w:t>。</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（二）“三公”经费财政拨款支出决算具体情况</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年度“三公”经费财政拨款支出决算中，因公出国（境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%；公务用车购置及运行费 支出决算</w:t>
      </w:r>
      <w:r>
        <w:rPr>
          <w:rFonts w:hint="eastAsia" w:ascii="仿宋_GB2312" w:eastAsia="仿宋_GB2312" w:cs="仿宋_GB2312"/>
          <w:bCs/>
          <w:kern w:val="0"/>
          <w:sz w:val="32"/>
          <w:szCs w:val="32"/>
          <w:lang w:val="en-US" w:eastAsia="zh-CN"/>
        </w:rPr>
        <w:t>23.72</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93.83</w:t>
      </w:r>
      <w:r>
        <w:rPr>
          <w:rFonts w:hint="eastAsia" w:ascii="仿宋_GB2312" w:eastAsia="仿宋_GB2312" w:cs="仿宋_GB2312"/>
          <w:bCs/>
          <w:kern w:val="0"/>
          <w:sz w:val="32"/>
          <w:szCs w:val="32"/>
        </w:rPr>
        <w:t>%；公务接待费支出决算</w:t>
      </w:r>
      <w:r>
        <w:rPr>
          <w:rFonts w:hint="eastAsia" w:ascii="仿宋_GB2312" w:eastAsia="仿宋_GB2312" w:cs="仿宋_GB2312"/>
          <w:bCs/>
          <w:kern w:val="0"/>
          <w:sz w:val="32"/>
          <w:szCs w:val="32"/>
          <w:lang w:val="en-US" w:eastAsia="zh-CN"/>
        </w:rPr>
        <w:t>1.56</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6.17</w:t>
      </w:r>
      <w:r>
        <w:rPr>
          <w:rFonts w:hint="eastAsia" w:ascii="仿宋_GB2312" w:eastAsia="仿宋_GB2312" w:cs="仿宋_GB2312"/>
          <w:bCs/>
          <w:kern w:val="0"/>
          <w:sz w:val="32"/>
          <w:szCs w:val="32"/>
        </w:rPr>
        <w:t xml:space="preserve"> %。具体情况如下：  </w:t>
      </w:r>
    </w:p>
    <w:p>
      <w:pPr>
        <w:numPr>
          <w:ilvl w:val="0"/>
          <w:numId w:val="2"/>
        </w:numPr>
        <w:autoSpaceDE w:val="0"/>
        <w:autoSpaceDN w:val="0"/>
        <w:adjustRightInd w:val="0"/>
        <w:spacing w:line="560" w:lineRule="exact"/>
        <w:ind w:left="640" w:leftChars="0" w:firstLine="0" w:firstLineChars="0"/>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万元。全年安排机关和所属单位因公出国 （境）团组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个，累计</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人次（必须说明）。开支内容包括：</w:t>
      </w:r>
      <w:r>
        <w:rPr>
          <w:rFonts w:hint="eastAsia" w:ascii="仿宋_GB2312" w:eastAsia="仿宋_GB2312" w:cs="仿宋_GB2312"/>
          <w:bCs/>
          <w:kern w:val="0"/>
          <w:sz w:val="32"/>
          <w:szCs w:val="32"/>
          <w:lang w:eastAsia="zh-CN"/>
        </w:rPr>
        <w:t>无</w:t>
      </w:r>
      <w:r>
        <w:rPr>
          <w:rFonts w:hint="eastAsia" w:ascii="仿宋_GB2312" w:eastAsia="仿宋_GB2312" w:cs="仿宋_GB2312"/>
          <w:bCs/>
          <w:kern w:val="0"/>
          <w:sz w:val="32"/>
          <w:szCs w:val="32"/>
          <w:lang w:val="en-US" w:eastAsia="zh-CN"/>
        </w:rPr>
        <w:t xml:space="preserve"> 。</w:t>
      </w:r>
    </w:p>
    <w:p>
      <w:pPr>
        <w:numPr>
          <w:numId w:val="0"/>
        </w:numPr>
        <w:autoSpaceDE w:val="0"/>
        <w:autoSpaceDN w:val="0"/>
        <w:adjustRightInd w:val="0"/>
        <w:spacing w:line="560" w:lineRule="exact"/>
        <w:ind w:left="640" w:left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2.公务用车购置及运行费支出</w:t>
      </w:r>
      <w:r>
        <w:rPr>
          <w:rFonts w:hint="eastAsia" w:ascii="仿宋_GB2312" w:eastAsia="仿宋_GB2312" w:cs="仿宋_GB2312"/>
          <w:bCs/>
          <w:kern w:val="0"/>
          <w:sz w:val="32"/>
          <w:szCs w:val="32"/>
          <w:lang w:val="en-US" w:eastAsia="zh-CN"/>
        </w:rPr>
        <w:t>23.72</w:t>
      </w:r>
      <w:r>
        <w:rPr>
          <w:rFonts w:hint="eastAsia" w:ascii="仿宋_GB2312" w:eastAsia="仿宋_GB2312" w:cs="仿宋_GB2312"/>
          <w:bCs/>
          <w:kern w:val="0"/>
          <w:sz w:val="32"/>
          <w:szCs w:val="32"/>
        </w:rPr>
        <w:t>万元。其中： 公务用车购置支出为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万元。公务用车运行支出</w:t>
      </w:r>
      <w:r>
        <w:rPr>
          <w:rFonts w:hint="eastAsia" w:ascii="仿宋_GB2312" w:eastAsia="仿宋_GB2312" w:cs="仿宋_GB2312"/>
          <w:bCs/>
          <w:kern w:val="0"/>
          <w:sz w:val="32"/>
          <w:szCs w:val="32"/>
          <w:lang w:val="en-US" w:eastAsia="zh-CN"/>
        </w:rPr>
        <w:t>23.72</w:t>
      </w:r>
      <w:r>
        <w:rPr>
          <w:rFonts w:hint="eastAsia" w:ascii="仿宋_GB2312" w:eastAsia="仿宋_GB2312" w:cs="仿宋_GB2312"/>
          <w:bCs/>
          <w:kern w:val="0"/>
          <w:sz w:val="32"/>
          <w:szCs w:val="32"/>
        </w:rPr>
        <w:t>万元。主要用于</w:t>
      </w:r>
      <w:r>
        <w:rPr>
          <w:rFonts w:hint="eastAsia" w:ascii="仿宋_GB2312" w:eastAsia="仿宋_GB2312" w:cs="仿宋_GB2312"/>
          <w:bCs/>
          <w:kern w:val="0"/>
          <w:sz w:val="32"/>
          <w:szCs w:val="32"/>
          <w:lang w:eastAsia="zh-CN"/>
        </w:rPr>
        <w:t>产品监督抽样工作及日常办公用车。201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年，机关所属单位开支财政拨款的公务用车保有量为</w:t>
      </w:r>
      <w:r>
        <w:rPr>
          <w:rFonts w:hint="eastAsia" w:ascii="仿宋_GB2312" w:eastAsia="仿宋_GB2312" w:cs="仿宋_GB2312"/>
          <w:bCs/>
          <w:kern w:val="0"/>
          <w:sz w:val="32"/>
          <w:szCs w:val="32"/>
          <w:lang w:val="en-US" w:eastAsia="zh-CN"/>
        </w:rPr>
        <w:t>7</w:t>
      </w:r>
      <w:r>
        <w:rPr>
          <w:rFonts w:hint="eastAsia" w:ascii="仿宋_GB2312" w:eastAsia="仿宋_GB2312" w:cs="仿宋_GB2312"/>
          <w:bCs/>
          <w:kern w:val="0"/>
          <w:sz w:val="32"/>
          <w:szCs w:val="32"/>
        </w:rPr>
        <w:t>辆。</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3.公务接待费支出</w:t>
      </w:r>
      <w:r>
        <w:rPr>
          <w:rFonts w:hint="eastAsia" w:ascii="仿宋_GB2312" w:eastAsia="仿宋_GB2312" w:cs="仿宋_GB2312"/>
          <w:bCs/>
          <w:kern w:val="0"/>
          <w:sz w:val="32"/>
          <w:szCs w:val="32"/>
          <w:lang w:val="en-US" w:eastAsia="zh-CN"/>
        </w:rPr>
        <w:t>1.56</w:t>
      </w:r>
      <w:r>
        <w:rPr>
          <w:rFonts w:hint="eastAsia" w:ascii="仿宋_GB2312" w:eastAsia="仿宋_GB2312" w:cs="仿宋_GB2312"/>
          <w:bCs/>
          <w:kern w:val="0"/>
          <w:sz w:val="32"/>
          <w:szCs w:val="32"/>
        </w:rPr>
        <w:t>万元。其中：</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外宾接待支出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 xml:space="preserve"> 年共接待国（境）外来访团组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个、来访外宾</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人次。（必须说明）</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国内公务接待支出</w:t>
      </w:r>
      <w:r>
        <w:rPr>
          <w:rFonts w:hint="eastAsia" w:ascii="仿宋_GB2312" w:eastAsia="仿宋_GB2312" w:cs="仿宋_GB2312"/>
          <w:bCs/>
          <w:kern w:val="0"/>
          <w:sz w:val="32"/>
          <w:szCs w:val="32"/>
          <w:lang w:val="en-US" w:eastAsia="zh-CN"/>
        </w:rPr>
        <w:t>1.56</w:t>
      </w:r>
      <w:r>
        <w:rPr>
          <w:rFonts w:hint="eastAsia" w:ascii="仿宋_GB2312" w:eastAsia="仿宋_GB2312" w:cs="仿宋_GB2312"/>
          <w:bCs/>
          <w:kern w:val="0"/>
          <w:sz w:val="32"/>
          <w:szCs w:val="32"/>
        </w:rPr>
        <w:t>万元。主要用于</w:t>
      </w:r>
      <w:r>
        <w:rPr>
          <w:rFonts w:hint="eastAsia" w:ascii="仿宋_GB2312" w:eastAsia="仿宋_GB2312" w:cs="仿宋_GB2312"/>
          <w:bCs/>
          <w:kern w:val="0"/>
          <w:sz w:val="32"/>
          <w:szCs w:val="32"/>
          <w:lang w:eastAsia="zh-CN"/>
        </w:rPr>
        <w:t>公务接待</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 xml:space="preserve"> 年共接待国内来访团组</w:t>
      </w:r>
      <w:r>
        <w:rPr>
          <w:rFonts w:hint="eastAsia" w:ascii="仿宋_GB2312" w:eastAsia="仿宋_GB2312" w:cs="仿宋_GB2312"/>
          <w:bCs/>
          <w:kern w:val="0"/>
          <w:sz w:val="32"/>
          <w:szCs w:val="32"/>
          <w:lang w:val="en-US" w:eastAsia="zh-CN"/>
        </w:rPr>
        <w:t>13</w:t>
      </w:r>
      <w:r>
        <w:rPr>
          <w:rFonts w:hint="eastAsia" w:ascii="仿宋_GB2312" w:eastAsia="仿宋_GB2312" w:cs="仿宋_GB2312"/>
          <w:bCs/>
          <w:kern w:val="0"/>
          <w:sz w:val="32"/>
          <w:szCs w:val="32"/>
        </w:rPr>
        <w:t>个、来宾</w:t>
      </w:r>
      <w:r>
        <w:rPr>
          <w:rFonts w:hint="eastAsia" w:ascii="仿宋_GB2312" w:eastAsia="仿宋_GB2312" w:cs="仿宋_GB2312"/>
          <w:bCs/>
          <w:kern w:val="0"/>
          <w:sz w:val="32"/>
          <w:szCs w:val="32"/>
          <w:lang w:val="en-US" w:eastAsia="zh-CN"/>
        </w:rPr>
        <w:t>126</w:t>
      </w:r>
      <w:r>
        <w:rPr>
          <w:rFonts w:hint="eastAsia" w:ascii="仿宋_GB2312" w:eastAsia="仿宋_GB2312" w:cs="仿宋_GB2312"/>
          <w:bCs/>
          <w:kern w:val="0"/>
          <w:sz w:val="32"/>
          <w:szCs w:val="32"/>
        </w:rPr>
        <w:t>人次</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（必须说明）</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八、</w:t>
      </w:r>
      <w:r>
        <w:rPr>
          <w:rFonts w:hint="eastAsia" w:ascii="仿宋_GB2312" w:eastAsia="仿宋_GB2312" w:cs="仿宋_GB2312"/>
          <w:b/>
          <w:bCs w:val="0"/>
          <w:kern w:val="0"/>
          <w:sz w:val="32"/>
          <w:szCs w:val="32"/>
          <w:lang w:eastAsia="zh-CN"/>
        </w:rPr>
        <w:t>201</w:t>
      </w:r>
      <w:r>
        <w:rPr>
          <w:rFonts w:hint="eastAsia" w:ascii="仿宋_GB2312" w:eastAsia="仿宋_GB2312" w:cs="仿宋_GB2312"/>
          <w:b/>
          <w:bCs w:val="0"/>
          <w:kern w:val="0"/>
          <w:sz w:val="32"/>
          <w:szCs w:val="32"/>
          <w:lang w:val="en-US" w:eastAsia="zh-CN"/>
        </w:rPr>
        <w:t>9</w:t>
      </w:r>
      <w:r>
        <w:rPr>
          <w:rFonts w:hint="eastAsia" w:ascii="仿宋_GB2312" w:eastAsia="仿宋_GB2312" w:cs="仿宋_GB2312"/>
          <w:b/>
          <w:bCs w:val="0"/>
          <w:kern w:val="0"/>
          <w:sz w:val="32"/>
          <w:szCs w:val="32"/>
        </w:rPr>
        <w:t xml:space="preserve"> 年度政府性基金预算财政拨款收入支出决算情况说明 （根据实际情况作表述 ）</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本部门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 xml:space="preserve">年度政府基金预算财政拨款收、支总决算 </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万元。与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8</w:t>
      </w:r>
      <w:r>
        <w:rPr>
          <w:rFonts w:hint="eastAsia" w:ascii="仿宋_GB2312" w:eastAsia="仿宋_GB2312" w:cs="仿宋_GB2312"/>
          <w:bCs/>
          <w:kern w:val="0"/>
          <w:sz w:val="32"/>
          <w:szCs w:val="32"/>
        </w:rPr>
        <w:t xml:space="preserve"> 年相比，收、支总计各增加</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万元，增长</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w:t>
      </w:r>
    </w:p>
    <w:p>
      <w:pPr>
        <w:autoSpaceDE w:val="0"/>
        <w:autoSpaceDN w:val="0"/>
        <w:adjustRightInd w:val="0"/>
        <w:ind w:firstLine="643" w:firstLineChars="200"/>
        <w:jc w:val="left"/>
        <w:rPr>
          <w:rFonts w:hint="eastAsia" w:ascii="仿宋_GB2312" w:eastAsia="仿宋_GB2312" w:cs="仿宋_GB2312"/>
          <w:b/>
          <w:bCs w:val="0"/>
          <w:kern w:val="0"/>
          <w:sz w:val="32"/>
          <w:szCs w:val="32"/>
        </w:rPr>
      </w:pPr>
      <w:r>
        <w:rPr>
          <w:rFonts w:hint="eastAsia" w:ascii="仿宋_GB2312" w:eastAsia="仿宋_GB2312" w:cs="仿宋_GB2312"/>
          <w:b/>
          <w:bCs w:val="0"/>
          <w:kern w:val="0"/>
          <w:sz w:val="32"/>
          <w:szCs w:val="32"/>
          <w:lang w:eastAsia="zh-CN"/>
        </w:rPr>
        <w:t>九、</w:t>
      </w:r>
      <w:r>
        <w:rPr>
          <w:rFonts w:hint="eastAsia" w:eastAsia="仿宋_GB2312"/>
          <w:b/>
          <w:kern w:val="0"/>
          <w:sz w:val="32"/>
          <w:szCs w:val="32"/>
          <w:lang w:eastAsia="zh-CN"/>
        </w:rPr>
        <w:t>201</w:t>
      </w:r>
      <w:r>
        <w:rPr>
          <w:rFonts w:hint="eastAsia" w:eastAsia="仿宋_GB2312"/>
          <w:b/>
          <w:kern w:val="0"/>
          <w:sz w:val="32"/>
          <w:szCs w:val="32"/>
          <w:lang w:val="en-US" w:eastAsia="zh-CN"/>
        </w:rPr>
        <w:t>9</w:t>
      </w:r>
      <w:r>
        <w:rPr>
          <w:rFonts w:hint="eastAsia" w:ascii="仿宋_GB2312" w:eastAsia="仿宋_GB2312" w:cs="仿宋_GB2312"/>
          <w:b/>
          <w:bCs w:val="0"/>
          <w:kern w:val="0"/>
          <w:sz w:val="32"/>
          <w:szCs w:val="32"/>
        </w:rPr>
        <w:t xml:space="preserve"> 年度预算绩效情况说明</w:t>
      </w:r>
    </w:p>
    <w:p>
      <w:pPr>
        <w:numPr>
          <w:ilvl w:val="0"/>
          <w:numId w:val="3"/>
        </w:numPr>
        <w:autoSpaceDE w:val="0"/>
        <w:autoSpaceDN w:val="0"/>
        <w:adjustRightInd w:val="0"/>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numPr>
          <w:ilvl w:val="0"/>
          <w:numId w:val="0"/>
        </w:numPr>
        <w:autoSpaceDE w:val="0"/>
        <w:autoSpaceDN w:val="0"/>
        <w:adjustRightInd w:val="0"/>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eastAsia="zh-CN"/>
        </w:rPr>
        <w:t>（表述举例：</w:t>
      </w:r>
      <w:r>
        <w:rPr>
          <w:rFonts w:hint="eastAsia" w:ascii="仿宋_GB2312" w:eastAsia="仿宋_GB2312" w:cs="仿宋_GB2312"/>
          <w:bCs/>
          <w:kern w:val="0"/>
          <w:sz w:val="32"/>
          <w:szCs w:val="32"/>
        </w:rPr>
        <w:t>根据财政预算管理要求，我部门组织对</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年度一般公共 预算项目支出全面开展绩效自评。其中，一级项目</w:t>
      </w: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个，二 级项目</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个，共涉及预算资金</w:t>
      </w:r>
      <w:r>
        <w:rPr>
          <w:rFonts w:hint="eastAsia" w:ascii="仿宋_GB2312" w:eastAsia="仿宋_GB2312" w:cs="仿宋_GB2312"/>
          <w:bCs/>
          <w:kern w:val="0"/>
          <w:sz w:val="32"/>
          <w:szCs w:val="32"/>
          <w:lang w:val="en-US" w:eastAsia="zh-CN"/>
        </w:rPr>
        <w:t>2503.32</w:t>
      </w:r>
      <w:r>
        <w:rPr>
          <w:rFonts w:hint="eastAsia" w:ascii="仿宋_GB2312" w:eastAsia="仿宋_GB2312" w:cs="仿宋_GB2312"/>
          <w:bCs/>
          <w:kern w:val="0"/>
          <w:sz w:val="32"/>
          <w:szCs w:val="32"/>
        </w:rPr>
        <w:t>万元，自评覆盖率达到</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 xml:space="preserve"> </w:t>
      </w:r>
    </w:p>
    <w:p>
      <w:pPr>
        <w:autoSpaceDE w:val="0"/>
        <w:autoSpaceDN w:val="0"/>
        <w:adjustRightInd w:val="0"/>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（二）部门决算中项目绩效自评结果</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我单位</w:t>
      </w:r>
      <w:r>
        <w:rPr>
          <w:rFonts w:hint="eastAsia" w:ascii="仿宋_GB2312" w:eastAsia="仿宋_GB2312" w:cs="仿宋_GB2312"/>
          <w:bCs/>
          <w:kern w:val="0"/>
          <w:sz w:val="32"/>
          <w:szCs w:val="32"/>
          <w:lang w:val="en-US" w:eastAsia="zh-CN"/>
        </w:rPr>
        <w:t>2019年度各项工作均能围绕绩效目标开展</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完成情况较好，</w:t>
      </w:r>
      <w:r>
        <w:rPr>
          <w:rFonts w:hint="eastAsia" w:ascii="仿宋_GB2312" w:eastAsia="仿宋_GB2312" w:cs="仿宋_GB2312"/>
          <w:bCs/>
          <w:kern w:val="0"/>
          <w:sz w:val="32"/>
          <w:szCs w:val="32"/>
        </w:rPr>
        <w:t>我单位自评</w:t>
      </w:r>
      <w:r>
        <w:rPr>
          <w:rFonts w:hint="eastAsia" w:ascii="仿宋_GB2312" w:eastAsia="仿宋_GB2312" w:cs="仿宋_GB2312"/>
          <w:bCs/>
          <w:kern w:val="0"/>
          <w:sz w:val="32"/>
          <w:szCs w:val="32"/>
          <w:lang w:eastAsia="zh-CN"/>
        </w:rPr>
        <w:t>分值为</w:t>
      </w:r>
      <w:r>
        <w:rPr>
          <w:rFonts w:hint="eastAsia" w:ascii="仿宋_GB2312" w:eastAsia="仿宋_GB2312" w:cs="仿宋_GB2312"/>
          <w:bCs/>
          <w:kern w:val="0"/>
          <w:sz w:val="32"/>
          <w:szCs w:val="32"/>
          <w:lang w:val="en-US" w:eastAsia="zh-CN"/>
        </w:rPr>
        <w:t>90.67</w:t>
      </w:r>
      <w:r>
        <w:rPr>
          <w:rFonts w:hint="eastAsia" w:ascii="仿宋_GB2312" w:eastAsia="仿宋_GB2312" w:cs="仿宋_GB2312"/>
          <w:bCs/>
          <w:kern w:val="0"/>
          <w:sz w:val="32"/>
          <w:szCs w:val="32"/>
        </w:rPr>
        <w:t>。</w:t>
      </w:r>
    </w:p>
    <w:p>
      <w:pPr>
        <w:autoSpaceDE w:val="0"/>
        <w:autoSpaceDN w:val="0"/>
        <w:adjustRightInd w:val="0"/>
        <w:ind w:firstLine="643" w:firstLineChars="200"/>
        <w:jc w:val="left"/>
        <w:rPr>
          <w:rFonts w:hint="eastAsia" w:ascii="仿宋_GB2312" w:eastAsia="仿宋_GB2312" w:cs="仿宋_GB2312"/>
          <w:b/>
          <w:bCs w:val="0"/>
          <w:kern w:val="0"/>
          <w:sz w:val="32"/>
          <w:szCs w:val="32"/>
          <w:lang w:eastAsia="zh-CN"/>
        </w:rPr>
      </w:pPr>
      <w:r>
        <w:rPr>
          <w:rFonts w:hint="eastAsia" w:ascii="仿宋_GB2312" w:eastAsia="仿宋_GB2312" w:cs="仿宋_GB2312"/>
          <w:b/>
          <w:bCs w:val="0"/>
          <w:kern w:val="0"/>
          <w:sz w:val="32"/>
          <w:szCs w:val="32"/>
          <w:lang w:eastAsia="zh-CN"/>
        </w:rPr>
        <w:t>十、</w:t>
      </w:r>
      <w:r>
        <w:rPr>
          <w:rFonts w:hint="eastAsia" w:ascii="仿宋_GB2312" w:eastAsia="仿宋_GB2312" w:cs="仿宋_GB2312"/>
          <w:b/>
          <w:bCs w:val="0"/>
          <w:kern w:val="0"/>
          <w:sz w:val="32"/>
          <w:szCs w:val="32"/>
        </w:rPr>
        <w:t>其他重要事项的情况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（一）机关运行经费支出情况。</w:t>
      </w:r>
      <w:r>
        <w:rPr>
          <w:rFonts w:hint="eastAsia" w:ascii="仿宋_GB2312" w:eastAsia="仿宋_GB2312" w:cs="仿宋_GB2312"/>
          <w:kern w:val="0"/>
          <w:sz w:val="32"/>
          <w:szCs w:val="32"/>
          <w:lang w:eastAsia="zh-CN"/>
        </w:rPr>
        <w:t>201</w:t>
      </w:r>
      <w:r>
        <w:rPr>
          <w:rFonts w:hint="eastAsia" w:ascii="仿宋_GB2312" w:eastAsia="仿宋_GB2312" w:cs="仿宋_GB2312"/>
          <w:kern w:val="0"/>
          <w:sz w:val="32"/>
          <w:szCs w:val="32"/>
          <w:lang w:val="en-US" w:eastAsia="zh-CN"/>
        </w:rPr>
        <w:t>9</w:t>
      </w:r>
      <w:r>
        <w:rPr>
          <w:rFonts w:hint="eastAsia" w:ascii="仿宋_GB2312" w:eastAsia="仿宋_GB2312" w:cs="仿宋_GB2312"/>
          <w:kern w:val="0"/>
          <w:sz w:val="32"/>
          <w:szCs w:val="32"/>
        </w:rPr>
        <w:t>年度部门机关运行经费支出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 xml:space="preserve">比 </w:t>
      </w:r>
      <w:r>
        <w:rPr>
          <w:rFonts w:hint="eastAsia" w:ascii="仿宋_GB2312" w:eastAsia="仿宋_GB2312" w:cs="仿宋_GB2312"/>
          <w:kern w:val="0"/>
          <w:sz w:val="32"/>
          <w:szCs w:val="32"/>
          <w:lang w:eastAsia="zh-CN"/>
        </w:rPr>
        <w:t>201</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年增加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（二）政府采购支出情况</w:t>
      </w:r>
      <w:r>
        <w:rPr>
          <w:rFonts w:hint="eastAsia" w:ascii="仿宋_GB2312" w:eastAsia="仿宋_GB2312" w:cs="仿宋_GB2312"/>
          <w:kern w:val="0"/>
          <w:sz w:val="32"/>
          <w:szCs w:val="32"/>
          <w:lang w:eastAsia="zh-CN"/>
        </w:rPr>
        <w:t>。201</w:t>
      </w:r>
      <w:r>
        <w:rPr>
          <w:rFonts w:hint="eastAsia" w:ascii="仿宋_GB2312" w:eastAsia="仿宋_GB2312" w:cs="仿宋_GB2312"/>
          <w:kern w:val="0"/>
          <w:sz w:val="32"/>
          <w:szCs w:val="32"/>
          <w:lang w:val="en-US" w:eastAsia="zh-CN"/>
        </w:rPr>
        <w:t>9</w:t>
      </w:r>
      <w:r>
        <w:rPr>
          <w:rFonts w:hint="eastAsia" w:ascii="仿宋_GB2312" w:eastAsia="仿宋_GB2312" w:cs="仿宋_GB2312"/>
          <w:kern w:val="0"/>
          <w:sz w:val="32"/>
          <w:szCs w:val="32"/>
        </w:rPr>
        <w:t>年度部门政府采购支出总额</w:t>
      </w:r>
      <w:r>
        <w:rPr>
          <w:rFonts w:hint="eastAsia" w:ascii="仿宋_GB2312" w:eastAsia="仿宋_GB2312" w:cs="仿宋_GB2312"/>
          <w:kern w:val="0"/>
          <w:sz w:val="32"/>
          <w:szCs w:val="32"/>
          <w:lang w:val="en-US" w:eastAsia="zh-CN"/>
        </w:rPr>
        <w:t>49.24</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其中：货物支出</w:t>
      </w:r>
      <w:r>
        <w:rPr>
          <w:rFonts w:hint="eastAsia" w:ascii="仿宋_GB2312" w:eastAsia="仿宋_GB2312" w:cs="仿宋_GB2312"/>
          <w:kern w:val="0"/>
          <w:sz w:val="32"/>
          <w:szCs w:val="32"/>
          <w:lang w:val="en-US" w:eastAsia="zh-CN"/>
        </w:rPr>
        <w:t>13.11</w:t>
      </w:r>
      <w:r>
        <w:rPr>
          <w:rFonts w:hint="eastAsia" w:ascii="仿宋_GB2312" w:eastAsia="仿宋_GB2312" w:cs="仿宋_GB2312"/>
          <w:kern w:val="0"/>
          <w:sz w:val="32"/>
          <w:szCs w:val="32"/>
        </w:rPr>
        <w:t>万元、工程支出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万元、服务支出</w:t>
      </w:r>
      <w:r>
        <w:rPr>
          <w:rFonts w:hint="eastAsia" w:ascii="仿宋_GB2312" w:eastAsia="仿宋_GB2312" w:cs="仿宋_GB2312"/>
          <w:kern w:val="0"/>
          <w:sz w:val="32"/>
          <w:szCs w:val="32"/>
          <w:lang w:val="en-US" w:eastAsia="zh-CN"/>
        </w:rPr>
        <w:t>36.13</w:t>
      </w:r>
      <w:bookmarkStart w:id="0" w:name="_GoBack"/>
      <w:bookmarkEnd w:id="0"/>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（三）国有资产占用情况。截至年末部门共有车辆</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辆，其中</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公务用车</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辆</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辆；专业技术用</w:t>
      </w:r>
      <w:r>
        <w:rPr>
          <w:rFonts w:hint="eastAsia" w:ascii="仿宋_GB2312" w:eastAsia="仿宋_GB2312" w:cs="仿宋_GB2312"/>
          <w:kern w:val="0"/>
          <w:sz w:val="32"/>
          <w:szCs w:val="32"/>
          <w:lang w:eastAsia="zh-CN"/>
        </w:rPr>
        <w:t>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辆；单价50万元 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单价100 万元以上专用设备</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台</w:t>
      </w:r>
      <w:r>
        <w:rPr>
          <w:rFonts w:hint="eastAsia" w:ascii="仿宋_GB2312" w:eastAsia="仿宋_GB2312" w:cs="仿宋_GB2312"/>
          <w:kern w:val="0"/>
          <w:sz w:val="32"/>
          <w:szCs w:val="32"/>
        </w:rPr>
        <w:t xml:space="preserve">（套）。 </w:t>
      </w:r>
    </w:p>
    <w:p>
      <w:pPr>
        <w:ind w:firstLine="645"/>
        <w:rPr>
          <w:rFonts w:hint="eastAsia" w:ascii="仿宋_GB2312" w:eastAsia="仿宋_GB2312"/>
          <w:b/>
          <w:sz w:val="32"/>
          <w:szCs w:val="32"/>
          <w:lang w:eastAsia="zh-CN"/>
        </w:rPr>
      </w:pPr>
      <w:r>
        <w:rPr>
          <w:rFonts w:hint="eastAsia" w:ascii="仿宋_GB2312" w:eastAsia="仿宋_GB2312"/>
          <w:b/>
          <w:sz w:val="32"/>
          <w:szCs w:val="32"/>
        </w:rPr>
        <w:t>第</w:t>
      </w:r>
      <w:r>
        <w:rPr>
          <w:rFonts w:hint="eastAsia" w:ascii="仿宋_GB2312" w:eastAsia="仿宋_GB2312"/>
          <w:b/>
          <w:sz w:val="32"/>
          <w:szCs w:val="32"/>
          <w:lang w:eastAsia="zh-CN"/>
        </w:rPr>
        <w:t>四</w:t>
      </w:r>
      <w:r>
        <w:rPr>
          <w:rFonts w:hint="eastAsia" w:ascii="仿宋_GB2312" w:eastAsia="仿宋_GB2312"/>
          <w:b/>
          <w:sz w:val="32"/>
          <w:szCs w:val="32"/>
        </w:rPr>
        <w:t>部分：</w:t>
      </w:r>
      <w:r>
        <w:rPr>
          <w:rFonts w:hint="eastAsia" w:ascii="仿宋_GB2312" w:eastAsia="仿宋_GB2312"/>
          <w:b/>
          <w:sz w:val="32"/>
          <w:szCs w:val="32"/>
          <w:lang w:eastAsia="zh-CN"/>
        </w:rPr>
        <w:t>名词解释</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eastAsia="zh-CN"/>
        </w:rPr>
        <w:t>财政拨款收入：指市本级财政当年拨付的资金。</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eastAsia="zh-CN"/>
        </w:rPr>
        <w:t>事业收入：指事业单位开展专业活动用辅助活动所取得的收入。如：</w:t>
      </w:r>
      <w:r>
        <w:rPr>
          <w:rFonts w:hint="eastAsia" w:ascii="仿宋_GB2312" w:eastAsia="仿宋_GB2312"/>
          <w:b w:val="0"/>
          <w:bCs/>
          <w:sz w:val="32"/>
          <w:szCs w:val="32"/>
          <w:lang w:val="en-US" w:eastAsia="zh-CN"/>
        </w:rPr>
        <w:t>......</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eastAsia="zh-CN"/>
        </w:rPr>
        <w:t>经营收入：指事业单位在专业业务活动及辅助活动之外开展非独立核算经营活动取得的收入。</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eastAsia="zh-CN"/>
        </w:rPr>
        <w:t>其他收入：指除上述“财政拨款收入”、“事业收入”、“经营收入”等以外的收入。主要是：</w:t>
      </w:r>
      <w:r>
        <w:rPr>
          <w:rFonts w:hint="eastAsia" w:ascii="仿宋_GB2312" w:eastAsia="仿宋_GB2312"/>
          <w:b w:val="0"/>
          <w:bCs/>
          <w:sz w:val="32"/>
          <w:szCs w:val="32"/>
          <w:lang w:val="en-US" w:eastAsia="zh-CN"/>
        </w:rPr>
        <w:t>......</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年初结转和结余：指以前年度尚未完成、结转到本年按规定继续使用的资金。</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结余分配：指事业单位按规定提取的职工福利基金、事业基金和缴纳的所得税，以及建设单位按规定应交回的基本建设竣工项目结余资金。</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年末结转和结余：指本年度或以前年度预算安排、因客观条件发生变化无法按原计划实施，需延迟到以后年度按有关规定继续使用的资金。</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基本支出：指为保障机构正常运转、完成日常工作任务而发生的人员支出和公用支出。</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项目支出：指在基本支出之外为完成特定行政任务和事业发展目标所发生的支出。</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经营支出：指事业单位在专业业务活动及其辅助活动之外开展非独立核算经营活动发生的支出。</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4"/>
        </w:numPr>
        <w:ind w:firstLine="645"/>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p>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80"/>
      <w:jc w:val="center"/>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4</w:t>
    </w:r>
    <w:r>
      <w:rPr>
        <w:rFonts w:ascii="宋体" w:hAnsi="宋体"/>
        <w:sz w:val="24"/>
        <w:szCs w:val="24"/>
      </w:rPr>
      <w:fldChar w:fldCharType="end"/>
    </w:r>
    <w:r>
      <w:rPr>
        <w:rFonts w:hint="eastAsia" w:ascii="宋体" w:hAnsi="宋体"/>
        <w:sz w:val="24"/>
        <w:szCs w:val="24"/>
      </w:rPr>
      <w:t xml:space="preserve"> -</w:t>
    </w: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30"/>
        <w:szCs w:val="30"/>
      </w:rPr>
    </w:pPr>
    <w:r>
      <w:rPr>
        <w:sz w:val="30"/>
        <w:szCs w:val="30"/>
      </w:rPr>
      <w:fldChar w:fldCharType="begin"/>
    </w:r>
    <w:r>
      <w:rPr>
        <w:rStyle w:val="6"/>
        <w:sz w:val="30"/>
        <w:szCs w:val="30"/>
      </w:rPr>
      <w:instrText xml:space="preserve">PAGE  </w:instrText>
    </w:r>
    <w:r>
      <w:rPr>
        <w:sz w:val="30"/>
        <w:szCs w:val="30"/>
      </w:rPr>
      <w:fldChar w:fldCharType="separate"/>
    </w:r>
    <w:r>
      <w:rPr>
        <w:rStyle w:val="6"/>
        <w:sz w:val="30"/>
        <w:szCs w:val="30"/>
      </w:rPr>
      <w:t>- 16 -</w:t>
    </w:r>
    <w:r>
      <w:rPr>
        <w:sz w:val="30"/>
        <w:szCs w:val="30"/>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DBF4E"/>
    <w:multiLevelType w:val="singleLevel"/>
    <w:tmpl w:val="AD6DBF4E"/>
    <w:lvl w:ilvl="0" w:tentative="0">
      <w:start w:val="1"/>
      <w:numFmt w:val="decimal"/>
      <w:lvlText w:val="%1."/>
      <w:lvlJc w:val="left"/>
      <w:pPr>
        <w:tabs>
          <w:tab w:val="left" w:pos="312"/>
        </w:tabs>
        <w:ind w:left="640" w:leftChars="0" w:firstLine="0" w:firstLineChars="0"/>
      </w:pPr>
    </w:lvl>
  </w:abstractNum>
  <w:abstractNum w:abstractNumId="1">
    <w:nsid w:val="4ED21E3E"/>
    <w:multiLevelType w:val="singleLevel"/>
    <w:tmpl w:val="4ED21E3E"/>
    <w:lvl w:ilvl="0" w:tentative="0">
      <w:start w:val="2"/>
      <w:numFmt w:val="decimal"/>
      <w:suff w:val="nothing"/>
      <w:lvlText w:val="%1．"/>
      <w:lvlJc w:val="left"/>
    </w:lvl>
  </w:abstractNum>
  <w:abstractNum w:abstractNumId="2">
    <w:nsid w:val="5B3C894F"/>
    <w:multiLevelType w:val="singleLevel"/>
    <w:tmpl w:val="5B3C894F"/>
    <w:lvl w:ilvl="0" w:tentative="0">
      <w:start w:val="1"/>
      <w:numFmt w:val="chineseCounting"/>
      <w:suff w:val="nothing"/>
      <w:lvlText w:val="（%1）"/>
      <w:lvlJc w:val="left"/>
    </w:lvl>
  </w:abstractNum>
  <w:abstractNum w:abstractNumId="3">
    <w:nsid w:val="5B3C8BA7"/>
    <w:multiLevelType w:val="singleLevel"/>
    <w:tmpl w:val="5B3C8BA7"/>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56E3D"/>
    <w:rsid w:val="013937E2"/>
    <w:rsid w:val="018D2614"/>
    <w:rsid w:val="02B1032D"/>
    <w:rsid w:val="037E3882"/>
    <w:rsid w:val="038D50AA"/>
    <w:rsid w:val="03D0295B"/>
    <w:rsid w:val="042901BE"/>
    <w:rsid w:val="04300A8B"/>
    <w:rsid w:val="046167AE"/>
    <w:rsid w:val="04F01CBB"/>
    <w:rsid w:val="053946AF"/>
    <w:rsid w:val="0541471B"/>
    <w:rsid w:val="05B049E4"/>
    <w:rsid w:val="07635169"/>
    <w:rsid w:val="077C7B2F"/>
    <w:rsid w:val="083A0F0D"/>
    <w:rsid w:val="083B1DF6"/>
    <w:rsid w:val="091442B4"/>
    <w:rsid w:val="0A86060E"/>
    <w:rsid w:val="0CF307C8"/>
    <w:rsid w:val="0D1640CC"/>
    <w:rsid w:val="0DD223E9"/>
    <w:rsid w:val="0DED3F9D"/>
    <w:rsid w:val="131520FF"/>
    <w:rsid w:val="15303DD5"/>
    <w:rsid w:val="15CB5675"/>
    <w:rsid w:val="172756B4"/>
    <w:rsid w:val="177147EC"/>
    <w:rsid w:val="17BE3F72"/>
    <w:rsid w:val="17CF1ED7"/>
    <w:rsid w:val="1AC54310"/>
    <w:rsid w:val="1AEB4797"/>
    <w:rsid w:val="1B1C049F"/>
    <w:rsid w:val="1B881D9A"/>
    <w:rsid w:val="1E905158"/>
    <w:rsid w:val="20DF47C8"/>
    <w:rsid w:val="219A12BF"/>
    <w:rsid w:val="222A6E47"/>
    <w:rsid w:val="224F6115"/>
    <w:rsid w:val="226E7FBF"/>
    <w:rsid w:val="23044D8B"/>
    <w:rsid w:val="2470412B"/>
    <w:rsid w:val="24C72B90"/>
    <w:rsid w:val="26460DBA"/>
    <w:rsid w:val="266D2DB7"/>
    <w:rsid w:val="2801551E"/>
    <w:rsid w:val="285F09EF"/>
    <w:rsid w:val="2979499C"/>
    <w:rsid w:val="29C3002C"/>
    <w:rsid w:val="29C46DBE"/>
    <w:rsid w:val="2A101E08"/>
    <w:rsid w:val="2C4219FE"/>
    <w:rsid w:val="2CB93F5A"/>
    <w:rsid w:val="2DC21B3A"/>
    <w:rsid w:val="2E2036E2"/>
    <w:rsid w:val="2E7C0088"/>
    <w:rsid w:val="301E46E8"/>
    <w:rsid w:val="324832EF"/>
    <w:rsid w:val="32DD1DC0"/>
    <w:rsid w:val="33AD3FEE"/>
    <w:rsid w:val="3604770F"/>
    <w:rsid w:val="36DC11F4"/>
    <w:rsid w:val="38985FB3"/>
    <w:rsid w:val="39A63F06"/>
    <w:rsid w:val="39A822BE"/>
    <w:rsid w:val="39F97A00"/>
    <w:rsid w:val="3B0504FB"/>
    <w:rsid w:val="3B265BF6"/>
    <w:rsid w:val="3CA927B5"/>
    <w:rsid w:val="3D3C1F71"/>
    <w:rsid w:val="3E1272B3"/>
    <w:rsid w:val="3E412C4C"/>
    <w:rsid w:val="3ED1439F"/>
    <w:rsid w:val="3FE83ACB"/>
    <w:rsid w:val="4086589B"/>
    <w:rsid w:val="414C423B"/>
    <w:rsid w:val="41A032C0"/>
    <w:rsid w:val="43E32CC2"/>
    <w:rsid w:val="44DC152E"/>
    <w:rsid w:val="453B783D"/>
    <w:rsid w:val="455D405E"/>
    <w:rsid w:val="46621916"/>
    <w:rsid w:val="471D3A96"/>
    <w:rsid w:val="479E5384"/>
    <w:rsid w:val="48B437E0"/>
    <w:rsid w:val="48D26E94"/>
    <w:rsid w:val="496D431E"/>
    <w:rsid w:val="4A032FE3"/>
    <w:rsid w:val="4B2137F6"/>
    <w:rsid w:val="4C256E3D"/>
    <w:rsid w:val="4CB52F0F"/>
    <w:rsid w:val="4DBA7B95"/>
    <w:rsid w:val="4E6A6B79"/>
    <w:rsid w:val="4F437017"/>
    <w:rsid w:val="4F6332D2"/>
    <w:rsid w:val="4F8E3C32"/>
    <w:rsid w:val="532F1F9A"/>
    <w:rsid w:val="53D82174"/>
    <w:rsid w:val="54CB2D48"/>
    <w:rsid w:val="558A03B3"/>
    <w:rsid w:val="569339EF"/>
    <w:rsid w:val="57A443DD"/>
    <w:rsid w:val="59203A25"/>
    <w:rsid w:val="599C3F87"/>
    <w:rsid w:val="5A860DFE"/>
    <w:rsid w:val="5AEF3C64"/>
    <w:rsid w:val="5BD523B5"/>
    <w:rsid w:val="5C5F4491"/>
    <w:rsid w:val="5CB33F3B"/>
    <w:rsid w:val="5EC35504"/>
    <w:rsid w:val="5F52198D"/>
    <w:rsid w:val="61CC11A9"/>
    <w:rsid w:val="62163194"/>
    <w:rsid w:val="62AE1B92"/>
    <w:rsid w:val="641F52B5"/>
    <w:rsid w:val="650749D2"/>
    <w:rsid w:val="66407FE8"/>
    <w:rsid w:val="67E13297"/>
    <w:rsid w:val="68192183"/>
    <w:rsid w:val="6A5F6BF0"/>
    <w:rsid w:val="6D9E2FB0"/>
    <w:rsid w:val="70C07925"/>
    <w:rsid w:val="71223530"/>
    <w:rsid w:val="71610151"/>
    <w:rsid w:val="718003D1"/>
    <w:rsid w:val="72F83FCC"/>
    <w:rsid w:val="744D0A3C"/>
    <w:rsid w:val="749448B9"/>
    <w:rsid w:val="751B403D"/>
    <w:rsid w:val="7635253D"/>
    <w:rsid w:val="768F1C35"/>
    <w:rsid w:val="77973E07"/>
    <w:rsid w:val="7A5F1F3B"/>
    <w:rsid w:val="7A6800D2"/>
    <w:rsid w:val="7AEE3642"/>
    <w:rsid w:val="7BB11A97"/>
    <w:rsid w:val="7C75580F"/>
    <w:rsid w:val="7CE576FA"/>
    <w:rsid w:val="7E0608F9"/>
    <w:rsid w:val="7F76048F"/>
    <w:rsid w:val="7F7F6133"/>
    <w:rsid w:val="7F886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南宫冰落</cp:lastModifiedBy>
  <cp:lastPrinted>2020-08-12T01:56:31Z</cp:lastPrinted>
  <dcterms:modified xsi:type="dcterms:W3CDTF">2020-08-12T02:37:33Z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